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329" w:rsidRPr="00D22BB1" w:rsidRDefault="00270329" w:rsidP="00270329">
      <w:pPr>
        <w:pStyle w:val="Header"/>
        <w:tabs>
          <w:tab w:val="clear" w:pos="4536"/>
        </w:tabs>
        <w:spacing w:line="400" w:lineRule="exact"/>
        <w:ind w:left="2127" w:hanging="2127"/>
        <w:rPr>
          <w:rFonts w:eastAsia="PMingLiU"/>
          <w:sz w:val="28"/>
          <w:szCs w:val="28"/>
          <w:lang w:eastAsia="zh-TW"/>
        </w:rPr>
      </w:pPr>
      <w:bookmarkStart w:id="0" w:name="OLE_LINK8"/>
      <w:r w:rsidRPr="00D22BB1">
        <w:rPr>
          <w:rFonts w:eastAsia="PMingLiU"/>
          <w:sz w:val="28"/>
          <w:szCs w:val="28"/>
          <w:lang w:eastAsia="zh-TW"/>
        </w:rPr>
        <w:t>3GPP TSG RAN WG1 Meeting #</w:t>
      </w:r>
      <w:r w:rsidRPr="00D22BB1">
        <w:rPr>
          <w:rFonts w:eastAsia="PMingLiU" w:hint="eastAsia"/>
          <w:sz w:val="28"/>
          <w:szCs w:val="28"/>
          <w:lang w:eastAsia="zh-TW"/>
        </w:rPr>
        <w:t>8</w:t>
      </w:r>
      <w:r w:rsidR="00E939F2">
        <w:rPr>
          <w:rFonts w:eastAsia="PMingLiU"/>
          <w:sz w:val="28"/>
          <w:szCs w:val="28"/>
          <w:lang w:eastAsia="zh-TW"/>
        </w:rPr>
        <w:t>3</w:t>
      </w:r>
      <w:r w:rsidRPr="00D22BB1">
        <w:rPr>
          <w:rFonts w:eastAsia="PMingLiU" w:hint="eastAsia"/>
          <w:sz w:val="28"/>
          <w:szCs w:val="28"/>
          <w:lang w:eastAsia="zh-TW"/>
        </w:rPr>
        <w:tab/>
      </w:r>
      <w:r w:rsidRPr="00D22BB1">
        <w:rPr>
          <w:rFonts w:eastAsia="PMingLiU"/>
          <w:sz w:val="28"/>
          <w:szCs w:val="28"/>
          <w:lang w:eastAsia="zh-TW"/>
        </w:rPr>
        <w:t>R1-1</w:t>
      </w:r>
      <w:r w:rsidRPr="00D22BB1">
        <w:rPr>
          <w:rFonts w:eastAsia="PMingLiU" w:hint="eastAsia"/>
          <w:sz w:val="28"/>
          <w:szCs w:val="28"/>
          <w:lang w:eastAsia="zh-TW"/>
        </w:rPr>
        <w:t>5</w:t>
      </w:r>
      <w:r w:rsidR="002E6783">
        <w:rPr>
          <w:rFonts w:eastAsia="PMingLiU"/>
          <w:sz w:val="28"/>
          <w:szCs w:val="28"/>
          <w:lang w:eastAsia="zh-TW"/>
        </w:rPr>
        <w:t>7171</w:t>
      </w:r>
    </w:p>
    <w:p w:rsidR="00270329" w:rsidRPr="00D22BB1" w:rsidRDefault="00E939F2" w:rsidP="00270329">
      <w:pPr>
        <w:pStyle w:val="Header"/>
        <w:tabs>
          <w:tab w:val="clear" w:pos="4536"/>
        </w:tabs>
        <w:spacing w:line="400" w:lineRule="exact"/>
        <w:ind w:left="2127" w:hanging="2127"/>
        <w:rPr>
          <w:rFonts w:eastAsia="PMingLiU"/>
          <w:sz w:val="28"/>
          <w:szCs w:val="28"/>
          <w:lang w:eastAsia="zh-TW"/>
        </w:rPr>
      </w:pPr>
      <w:r>
        <w:rPr>
          <w:rFonts w:eastAsia="PMingLiU"/>
          <w:sz w:val="28"/>
          <w:szCs w:val="28"/>
          <w:lang w:eastAsia="zh-TW"/>
        </w:rPr>
        <w:t>Anaheim, California, USA,</w:t>
      </w:r>
      <w:r w:rsidR="00270329" w:rsidRPr="00D22BB1">
        <w:rPr>
          <w:rFonts w:eastAsia="PMingLiU"/>
          <w:sz w:val="28"/>
          <w:szCs w:val="28"/>
          <w:lang w:eastAsia="zh-TW"/>
        </w:rPr>
        <w:t xml:space="preserve"> </w:t>
      </w:r>
      <w:r>
        <w:rPr>
          <w:rFonts w:eastAsia="PMingLiU"/>
          <w:sz w:val="28"/>
          <w:szCs w:val="28"/>
          <w:lang w:eastAsia="zh-TW"/>
        </w:rPr>
        <w:t>15</w:t>
      </w:r>
      <w:r w:rsidRPr="00E939F2">
        <w:rPr>
          <w:rFonts w:eastAsia="PMingLiU"/>
          <w:sz w:val="28"/>
          <w:szCs w:val="28"/>
          <w:vertAlign w:val="superscript"/>
          <w:lang w:eastAsia="zh-TW"/>
        </w:rPr>
        <w:t>th</w:t>
      </w:r>
      <w:r>
        <w:rPr>
          <w:rFonts w:eastAsia="PMingLiU"/>
          <w:sz w:val="28"/>
          <w:szCs w:val="28"/>
          <w:lang w:eastAsia="zh-TW"/>
        </w:rPr>
        <w:t xml:space="preserve"> – 22</w:t>
      </w:r>
      <w:r w:rsidRPr="00E939F2">
        <w:rPr>
          <w:rFonts w:eastAsia="PMingLiU"/>
          <w:sz w:val="28"/>
          <w:szCs w:val="28"/>
          <w:vertAlign w:val="superscript"/>
          <w:lang w:eastAsia="zh-TW"/>
        </w:rPr>
        <w:t>nd</w:t>
      </w:r>
      <w:r>
        <w:rPr>
          <w:rFonts w:eastAsia="PMingLiU"/>
          <w:sz w:val="28"/>
          <w:szCs w:val="28"/>
          <w:lang w:eastAsia="zh-TW"/>
        </w:rPr>
        <w:t xml:space="preserve"> </w:t>
      </w:r>
      <w:r w:rsidRPr="00D22BB1">
        <w:rPr>
          <w:rFonts w:eastAsia="PMingLiU"/>
          <w:sz w:val="28"/>
          <w:szCs w:val="28"/>
          <w:lang w:eastAsia="zh-TW"/>
        </w:rPr>
        <w:t>2015</w:t>
      </w:r>
    </w:p>
    <w:p w:rsidR="00270329" w:rsidRPr="00411159" w:rsidRDefault="00270329" w:rsidP="0027032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AF543B">
        <w:rPr>
          <w:rFonts w:eastAsiaTheme="minorEastAsia"/>
          <w:sz w:val="28"/>
          <w:szCs w:val="28"/>
          <w:lang w:eastAsia="zh-TW"/>
        </w:rPr>
        <w:t>LAA initial signal design</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PMingLiU" w:hint="eastAsia"/>
          <w:sz w:val="28"/>
          <w:szCs w:val="28"/>
          <w:lang w:eastAsia="zh-TW"/>
        </w:rPr>
        <w:t>7.2.</w:t>
      </w:r>
      <w:r>
        <w:rPr>
          <w:rFonts w:eastAsiaTheme="minorEastAsia" w:hint="eastAsia"/>
          <w:sz w:val="28"/>
          <w:szCs w:val="28"/>
          <w:lang w:eastAsia="zh-TW"/>
        </w:rPr>
        <w:t>3.</w:t>
      </w:r>
      <w:r>
        <w:rPr>
          <w:rFonts w:eastAsiaTheme="minorEastAsia"/>
          <w:sz w:val="28"/>
          <w:szCs w:val="28"/>
          <w:lang w:eastAsia="zh-TW"/>
        </w:rPr>
        <w:t>1</w:t>
      </w:r>
    </w:p>
    <w:p w:rsidR="00270329" w:rsidRPr="00411159" w:rsidRDefault="00270329" w:rsidP="0027032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F57CD4" w:rsidP="00EE0F7A">
      <w:pPr>
        <w:pStyle w:val="Header"/>
        <w:tabs>
          <w:tab w:val="clear" w:pos="4536"/>
          <w:tab w:val="clear" w:pos="9072"/>
          <w:tab w:val="left" w:pos="2160"/>
        </w:tabs>
        <w:spacing w:line="400" w:lineRule="exact"/>
        <w:jc w:val="both"/>
        <w:rPr>
          <w:sz w:val="28"/>
          <w:szCs w:val="28"/>
        </w:rPr>
      </w:pPr>
      <w:r w:rsidRPr="00F57CD4">
        <w:rPr>
          <w:sz w:val="28"/>
          <w:szCs w:val="28"/>
        </w:rPr>
        <w:pict>
          <v:rect id="_x0000_i1025" style="width:482.4pt;height:1.5pt" o:hralign="center" o:hrstd="t" o:hrnoshade="t" o:hr="t" fillcolor="black" stroked="f"/>
        </w:pict>
      </w:r>
    </w:p>
    <w:p w:rsidR="00793ED3" w:rsidRDefault="00121BE3" w:rsidP="00793ED3">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C22F5A" w:rsidRPr="00C22F5A" w:rsidRDefault="00C22F5A" w:rsidP="00C22F5A">
      <w:pPr>
        <w:pStyle w:val="BodyText"/>
      </w:pPr>
      <w:r>
        <w:t>In this contribution, we discuss working assumption/agreement from previous meetings pertinent to LAA initial signal design.</w:t>
      </w:r>
    </w:p>
    <w:p w:rsidR="00E939F2" w:rsidRPr="00463DBC" w:rsidRDefault="00F57CD4" w:rsidP="00E939F2">
      <w:pPr>
        <w:pStyle w:val="Header"/>
        <w:tabs>
          <w:tab w:val="clear" w:pos="4536"/>
          <w:tab w:val="clear" w:pos="9072"/>
          <w:tab w:val="left" w:pos="2160"/>
        </w:tabs>
        <w:spacing w:line="400" w:lineRule="exact"/>
        <w:jc w:val="both"/>
        <w:rPr>
          <w:sz w:val="28"/>
          <w:szCs w:val="28"/>
        </w:rPr>
      </w:pPr>
      <w:bookmarkStart w:id="1" w:name="OLE_LINK37"/>
      <w:bookmarkStart w:id="2" w:name="OLE_LINK36"/>
      <w:bookmarkStart w:id="3" w:name="OLE_LINK47"/>
      <w:bookmarkStart w:id="4" w:name="OLE_LINK48"/>
      <w:bookmarkEnd w:id="0"/>
      <w:r w:rsidRPr="00F57CD4">
        <w:rPr>
          <w:sz w:val="28"/>
          <w:szCs w:val="28"/>
        </w:rPr>
        <w:pict>
          <v:rect id="_x0000_i1026" style="width:482.4pt;height:1.5pt" o:hralign="center" o:hrstd="t" o:hrnoshade="t" o:hr="t" fillcolor="black" stroked="f"/>
        </w:pict>
      </w:r>
    </w:p>
    <w:p w:rsidR="00E939F2" w:rsidRDefault="00B5687F" w:rsidP="00E939F2">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 xml:space="preserve">CRS/CSI-RS </w:t>
      </w:r>
      <w:r w:rsidR="00F467A9">
        <w:rPr>
          <w:b w:val="0"/>
          <w:sz w:val="32"/>
        </w:rPr>
        <w:t>transmission power</w:t>
      </w:r>
      <w:r>
        <w:rPr>
          <w:b w:val="0"/>
          <w:sz w:val="32"/>
        </w:rPr>
        <w:t xml:space="preserve"> </w:t>
      </w:r>
    </w:p>
    <w:p w:rsidR="00B5687F" w:rsidRDefault="00B5687F" w:rsidP="00B5687F">
      <w:pPr>
        <w:pStyle w:val="BodyText"/>
      </w:pPr>
    </w:p>
    <w:p w:rsidR="00B5687F" w:rsidRDefault="00B5687F" w:rsidP="00B5687F">
      <w:pPr>
        <w:pStyle w:val="BodyText"/>
      </w:pPr>
      <w:r>
        <w:t>In RAN1 #82bis, the following working assumption was reached:</w:t>
      </w:r>
    </w:p>
    <w:p w:rsidR="00B5687F" w:rsidRDefault="00B5687F" w:rsidP="00B5687F">
      <w:pPr>
        <w:rPr>
          <w:rFonts w:eastAsia="MS Mincho"/>
          <w:lang w:eastAsia="ja-JP"/>
        </w:rPr>
      </w:pPr>
    </w:p>
    <w:p w:rsidR="00B5687F" w:rsidRPr="00D17F40" w:rsidRDefault="00B5687F" w:rsidP="00B5687F">
      <w:pPr>
        <w:rPr>
          <w:rFonts w:eastAsia="MS Mincho"/>
          <w:b/>
          <w:u w:val="single"/>
          <w:lang w:eastAsia="ja-JP"/>
        </w:rPr>
      </w:pPr>
      <w:r w:rsidRPr="00D17F40">
        <w:rPr>
          <w:rFonts w:eastAsia="MS Mincho" w:hint="eastAsia"/>
          <w:b/>
          <w:highlight w:val="darkYellow"/>
          <w:u w:val="single"/>
          <w:lang w:eastAsia="ja-JP"/>
        </w:rPr>
        <w:t>Working assumption:</w:t>
      </w:r>
    </w:p>
    <w:p w:rsidR="00B5687F" w:rsidRPr="00DF10EF" w:rsidRDefault="00B5687F" w:rsidP="00B5687F">
      <w:pPr>
        <w:numPr>
          <w:ilvl w:val="0"/>
          <w:numId w:val="15"/>
        </w:numPr>
        <w:spacing w:after="200" w:line="276" w:lineRule="auto"/>
      </w:pPr>
      <w:r>
        <w:t xml:space="preserve">UE may assume that the </w:t>
      </w:r>
      <w:r w:rsidRPr="00DF10EF">
        <w:t>CRS and</w:t>
      </w:r>
      <w:r>
        <w:t xml:space="preserve"> CSI-RS transmission has a constant</w:t>
      </w:r>
      <w:r w:rsidRPr="00DF10EF">
        <w:t xml:space="preserve"> power in each </w:t>
      </w:r>
      <w:proofErr w:type="spellStart"/>
      <w:r w:rsidRPr="00DF10EF">
        <w:t>subframe</w:t>
      </w:r>
      <w:proofErr w:type="spellEnd"/>
      <w:r w:rsidRPr="00DF10EF">
        <w:t xml:space="preserve"> of DL transmission burst</w:t>
      </w:r>
      <w:r>
        <w:t>,</w:t>
      </w:r>
      <w:r w:rsidRPr="00DF10EF">
        <w:t xml:space="preserve"> and </w:t>
      </w:r>
      <w:r>
        <w:t>the UE should not assume that the CRS and CSI-RS transmission power is the same</w:t>
      </w:r>
      <w:r w:rsidRPr="00DF10EF">
        <w:t xml:space="preserve"> across transmission bursts</w:t>
      </w:r>
    </w:p>
    <w:p w:rsidR="00B5687F" w:rsidRDefault="00B5687F" w:rsidP="00B5687F">
      <w:pPr>
        <w:numPr>
          <w:ilvl w:val="1"/>
          <w:numId w:val="15"/>
        </w:numPr>
        <w:spacing w:after="200" w:line="276" w:lineRule="auto"/>
      </w:pPr>
      <w:r>
        <w:t>FFS: Whether there is any problem with AGC</w:t>
      </w:r>
    </w:p>
    <w:p w:rsidR="00B5687F" w:rsidRDefault="00B5687F" w:rsidP="00B5687F">
      <w:pPr>
        <w:numPr>
          <w:ilvl w:val="1"/>
          <w:numId w:val="15"/>
        </w:numPr>
        <w:spacing w:after="200" w:line="276" w:lineRule="auto"/>
      </w:pPr>
      <w:r>
        <w:t xml:space="preserve">FFS: Whether there is an issue with CSI measurements due to potential mismatch in UE’s measured </w:t>
      </w:r>
      <w:proofErr w:type="spellStart"/>
      <w:r>
        <w:t>subframe</w:t>
      </w:r>
      <w:proofErr w:type="spellEnd"/>
      <w:r>
        <w:t xml:space="preserve"> and </w:t>
      </w:r>
      <w:proofErr w:type="spellStart"/>
      <w:r>
        <w:t>eNB’s</w:t>
      </w:r>
      <w:proofErr w:type="spellEnd"/>
      <w:r>
        <w:t xml:space="preserve"> understanding of the measured </w:t>
      </w:r>
      <w:proofErr w:type="spellStart"/>
      <w:r>
        <w:t>subframe</w:t>
      </w:r>
      <w:proofErr w:type="spellEnd"/>
    </w:p>
    <w:p w:rsidR="00B5687F" w:rsidRDefault="00B5687F" w:rsidP="00B5687F">
      <w:pPr>
        <w:numPr>
          <w:ilvl w:val="1"/>
          <w:numId w:val="15"/>
        </w:numPr>
        <w:spacing w:after="200" w:line="276" w:lineRule="auto"/>
      </w:pPr>
      <w:r>
        <w:t xml:space="preserve">FFS: How the UE identifies whether </w:t>
      </w:r>
      <w:proofErr w:type="spellStart"/>
      <w:r>
        <w:t>subframes</w:t>
      </w:r>
      <w:proofErr w:type="spellEnd"/>
      <w:r>
        <w:t xml:space="preserve"> belong to the same transmission burst</w:t>
      </w:r>
    </w:p>
    <w:p w:rsidR="00B5687F" w:rsidRDefault="00B5687F" w:rsidP="00B5687F">
      <w:pPr>
        <w:numPr>
          <w:ilvl w:val="2"/>
          <w:numId w:val="15"/>
        </w:numPr>
        <w:spacing w:after="200" w:line="276" w:lineRule="auto"/>
      </w:pPr>
      <w:r>
        <w:t>Note: The following options and other potential options for such identification are not precluded.</w:t>
      </w:r>
    </w:p>
    <w:p w:rsidR="00B5687F" w:rsidRPr="00A86695" w:rsidRDefault="00B5687F" w:rsidP="00B5687F">
      <w:pPr>
        <w:numPr>
          <w:ilvl w:val="3"/>
          <w:numId w:val="15"/>
        </w:numPr>
        <w:spacing w:after="200" w:line="276" w:lineRule="auto"/>
      </w:pPr>
      <w:r>
        <w:t>Such identification is left up to UE implementation.</w:t>
      </w:r>
    </w:p>
    <w:p w:rsidR="00B5687F" w:rsidRPr="00A86695" w:rsidRDefault="00B5687F" w:rsidP="00B5687F">
      <w:pPr>
        <w:numPr>
          <w:ilvl w:val="3"/>
          <w:numId w:val="15"/>
        </w:numPr>
        <w:spacing w:after="200" w:line="276" w:lineRule="auto"/>
      </w:pPr>
      <w:r>
        <w:t xml:space="preserve">Such identification is provided via assistance from the </w:t>
      </w:r>
      <w:proofErr w:type="spellStart"/>
      <w:r>
        <w:t>eNB</w:t>
      </w:r>
      <w:proofErr w:type="spellEnd"/>
      <w:r>
        <w:t>.</w:t>
      </w:r>
    </w:p>
    <w:p w:rsidR="00F467A9" w:rsidRDefault="00F467A9" w:rsidP="00B5687F">
      <w:pPr>
        <w:pStyle w:val="BodyText"/>
      </w:pPr>
    </w:p>
    <w:p w:rsidR="00B5687F" w:rsidRDefault="00B5687F" w:rsidP="00B5687F">
      <w:pPr>
        <w:pStyle w:val="BodyText"/>
      </w:pPr>
      <w:r>
        <w:t>In this section, we examine the use cases for adapting CRS/CSI-RS transmission power</w:t>
      </w:r>
      <w:r w:rsidR="00F467A9">
        <w:t>.</w:t>
      </w:r>
    </w:p>
    <w:p w:rsidR="00EC046E" w:rsidRDefault="00E939F2" w:rsidP="00E939F2">
      <w:pPr>
        <w:pStyle w:val="BodyText"/>
      </w:pPr>
      <w:r>
        <w:t xml:space="preserve">In LTE, CRS and CSI-RS are </w:t>
      </w:r>
      <w:r w:rsidR="00EC046E">
        <w:t xml:space="preserve">assumed to be </w:t>
      </w:r>
      <w:r>
        <w:t xml:space="preserve">transmitted at a constant power from eNB. </w:t>
      </w:r>
      <w:r w:rsidR="00EC046E">
        <w:t xml:space="preserve">Even though rate control rather than power control often provides better system throughputs, power control is not un-used in modern communications systems. And in the following we list a few examples: </w:t>
      </w:r>
    </w:p>
    <w:p w:rsidR="00E939F2" w:rsidRDefault="00E939F2" w:rsidP="00EC046E">
      <w:pPr>
        <w:pStyle w:val="BodyText"/>
        <w:numPr>
          <w:ilvl w:val="0"/>
          <w:numId w:val="11"/>
        </w:numPr>
      </w:pPr>
      <w:r>
        <w:t xml:space="preserve">With DMRS based transmission modes, the PDSCH power can be adjusted at TTI-level along with its reference signal (DMRS). </w:t>
      </w:r>
    </w:p>
    <w:p w:rsidR="00EC046E" w:rsidRDefault="00EC046E" w:rsidP="00EC046E">
      <w:pPr>
        <w:pStyle w:val="BodyText"/>
        <w:numPr>
          <w:ilvl w:val="0"/>
          <w:numId w:val="11"/>
        </w:numPr>
      </w:pPr>
      <w:r>
        <w:t>With CRS bsaed transmission modes, PB (cell-specific)/PA (UE-specific)</w:t>
      </w:r>
      <w:r w:rsidR="0035097F">
        <w:t xml:space="preserve"> can be used to control the power ratio between a PDSCH RE's and  CRS RE's. </w:t>
      </w:r>
    </w:p>
    <w:p w:rsidR="00870399" w:rsidRDefault="00870399" w:rsidP="00870399">
      <w:pPr>
        <w:pStyle w:val="BodyText"/>
      </w:pPr>
    </w:p>
    <w:p w:rsidR="00177E98" w:rsidRDefault="00177E98" w:rsidP="00870399">
      <w:pPr>
        <w:pStyle w:val="BodyText"/>
      </w:pPr>
      <w:r>
        <w:lastRenderedPageBreak/>
        <w:t>There are several use cases for power control in LAA:</w:t>
      </w:r>
    </w:p>
    <w:p w:rsidR="00177E98" w:rsidRDefault="00D133D0" w:rsidP="00177E98">
      <w:pPr>
        <w:pStyle w:val="BodyText"/>
        <w:numPr>
          <w:ilvl w:val="0"/>
          <w:numId w:val="13"/>
        </w:numPr>
      </w:pPr>
      <w:r>
        <w:t>Joint TPC/CCA control: j</w:t>
      </w:r>
      <w:r w:rsidR="00177E98">
        <w:t>oint power control and CCA threshold selection to achieve better frequency reuse;</w:t>
      </w:r>
    </w:p>
    <w:p w:rsidR="00177E98" w:rsidRDefault="00D133D0" w:rsidP="00177E98">
      <w:pPr>
        <w:pStyle w:val="BodyText"/>
        <w:numPr>
          <w:ilvl w:val="0"/>
          <w:numId w:val="13"/>
        </w:numPr>
      </w:pPr>
      <w:r>
        <w:t xml:space="preserve">Power derating for high order modulations: </w:t>
      </w:r>
      <w:r w:rsidR="00177E98">
        <w:t xml:space="preserve">power derating at eNB </w:t>
      </w:r>
      <w:r>
        <w:t>for high</w:t>
      </w:r>
      <w:r w:rsidR="00177E98">
        <w:t xml:space="preserve"> order modulation transmissions to meet EVM requirements;</w:t>
      </w:r>
    </w:p>
    <w:p w:rsidR="00177E98" w:rsidRDefault="00D133D0" w:rsidP="00177E98">
      <w:pPr>
        <w:pStyle w:val="BodyText"/>
        <w:numPr>
          <w:ilvl w:val="0"/>
          <w:numId w:val="13"/>
        </w:numPr>
      </w:pPr>
      <w:r>
        <w:t xml:space="preserve">Multicarrier transmission: </w:t>
      </w:r>
      <w:r w:rsidR="00177E98">
        <w:t xml:space="preserve">In multicarrier transmissions, power can be borrowed from one carrier to another. </w:t>
      </w:r>
    </w:p>
    <w:p w:rsidR="00177E98" w:rsidRDefault="00177E98" w:rsidP="00177E98">
      <w:pPr>
        <w:pStyle w:val="BodyText"/>
        <w:ind w:left="720"/>
      </w:pPr>
    </w:p>
    <w:p w:rsidR="00282B92" w:rsidRDefault="00177E98" w:rsidP="00177E98">
      <w:pPr>
        <w:pStyle w:val="BodyText"/>
      </w:pPr>
      <w:r>
        <w:t xml:space="preserve">We note in RAN1 #82bis, it was agreed that power control is conducted at DL burst level rather than TTI level. And the enhancement in power control is to address some or all the above use cases. </w:t>
      </w:r>
      <w:r w:rsidR="00623F53">
        <w:t xml:space="preserve">During the RAN1 #82bis online discussion, it was apparent that there was </w:t>
      </w:r>
      <w:r w:rsidR="00D133D0">
        <w:t xml:space="preserve">not </w:t>
      </w:r>
      <w:r w:rsidR="00623F53">
        <w:t>a concrete number (e.g. required dynamic range)  to motivate the needed enhancement.</w:t>
      </w:r>
      <w:r w:rsidR="00D133D0">
        <w:t xml:space="preserve"> It is c</w:t>
      </w:r>
      <w:r w:rsidR="00282B92">
        <w:t xml:space="preserve">lear that only in the case that the use cases demand a higher dynamic range than what is already supported by the current features in LTE, a DL transmission burst level power control scheme is well-motivated. And a natural question arises whether AGC needs to be considered to support much dynamic </w:t>
      </w:r>
      <w:r w:rsidR="00445111">
        <w:t>transmissions</w:t>
      </w:r>
      <w:r w:rsidR="00282B92">
        <w:t xml:space="preserve"> from eNB. </w:t>
      </w:r>
    </w:p>
    <w:p w:rsidR="00623F53" w:rsidRDefault="00D133D0" w:rsidP="00177E98">
      <w:pPr>
        <w:pStyle w:val="BodyText"/>
      </w:pPr>
      <w:r>
        <w:t xml:space="preserve"> </w:t>
      </w:r>
      <w:r w:rsidR="00623F53">
        <w:t xml:space="preserve">  </w:t>
      </w:r>
    </w:p>
    <w:p w:rsidR="00177E98" w:rsidRDefault="009A7AF6" w:rsidP="00177E98">
      <w:pPr>
        <w:pStyle w:val="BodyText"/>
      </w:pPr>
      <w:r>
        <w:t xml:space="preserve">Here it is worthwhile to review what is already available in LTE's power control </w:t>
      </w:r>
      <w:r w:rsidR="008B52B1">
        <w:t>portfolio</w:t>
      </w:r>
      <w:r w:rsidR="008D0F33">
        <w:t>. With CRS based transmission, we have</w:t>
      </w:r>
      <w:r>
        <w:t xml:space="preserve"> </w:t>
      </w:r>
    </w:p>
    <w:p w:rsidR="00177E98" w:rsidRDefault="00A24FB6" w:rsidP="00A24FB6">
      <w:pPr>
        <w:pStyle w:val="BodyText"/>
        <w:numPr>
          <w:ilvl w:val="0"/>
          <w:numId w:val="14"/>
        </w:numPr>
      </w:pPr>
      <w:r>
        <w:t>P</w:t>
      </w:r>
      <w:r w:rsidRPr="00A24FB6">
        <w:rPr>
          <w:sz w:val="14"/>
        </w:rPr>
        <w:t>A</w:t>
      </w:r>
      <w:r>
        <w:rPr>
          <w:sz w:val="14"/>
        </w:rPr>
        <w:t xml:space="preserve">  </w:t>
      </w:r>
      <w:r>
        <w:t>can take a value from {-6, -4.77, -3, -1.77, 0, 1, 2,3 } (dB)</w:t>
      </w:r>
    </w:p>
    <w:p w:rsidR="00A31C29" w:rsidRDefault="00A24FB6" w:rsidP="00A24FB6">
      <w:pPr>
        <w:pStyle w:val="BodyText"/>
        <w:numPr>
          <w:ilvl w:val="0"/>
          <w:numId w:val="14"/>
        </w:numPr>
      </w:pPr>
      <w:r>
        <w:t>With PB equals "1"</w:t>
      </w:r>
      <w:r w:rsidR="00577EAC">
        <w:t>, PDSCH</w:t>
      </w:r>
      <w:r w:rsidR="00BC29FA">
        <w:t xml:space="preserve"> REs at all OFDM symbols</w:t>
      </w:r>
      <w:r w:rsidR="00A31C29">
        <w:t xml:space="preserve"> have the same power level.  Assume each CRS RE take 1 unit of power, then </w:t>
      </w:r>
    </w:p>
    <w:p w:rsidR="00A24FB6" w:rsidRDefault="00A31C29" w:rsidP="00A31C29">
      <w:pPr>
        <w:pStyle w:val="BodyText"/>
        <w:numPr>
          <w:ilvl w:val="1"/>
          <w:numId w:val="14"/>
        </w:numPr>
      </w:pPr>
      <w:r>
        <w:t>with PA= -6 dB, the maximum power level</w:t>
      </w:r>
      <w:r w:rsidR="006221FE">
        <w:t xml:space="preserve"> in a PRB</w:t>
      </w:r>
      <w:r>
        <w:t xml:space="preserve"> over all OFDM symbols in a slot is 4.51 (linear scale)</w:t>
      </w:r>
    </w:p>
    <w:p w:rsidR="00A31C29" w:rsidRDefault="00A31C29" w:rsidP="00A31C29">
      <w:pPr>
        <w:pStyle w:val="BodyText"/>
        <w:numPr>
          <w:ilvl w:val="1"/>
          <w:numId w:val="14"/>
        </w:numPr>
      </w:pPr>
      <w:r>
        <w:t xml:space="preserve">with PA= 3 dB, the maximum power level </w:t>
      </w:r>
      <w:r w:rsidR="006221FE">
        <w:t xml:space="preserve">in a PRB </w:t>
      </w:r>
      <w:r>
        <w:t>over all OFDM symbols in a slot is 23.94 (linear scale)</w:t>
      </w:r>
    </w:p>
    <w:p w:rsidR="00A31C29" w:rsidRDefault="00A31C29" w:rsidP="00A31C29">
      <w:pPr>
        <w:pStyle w:val="BodyText"/>
        <w:numPr>
          <w:ilvl w:val="1"/>
          <w:numId w:val="14"/>
        </w:numPr>
      </w:pPr>
      <w:r>
        <w:t>We note by scheduling a UEs with PA = -6 dB in one DL transmission burst  and UEs with PA= 3 d</w:t>
      </w:r>
      <w:r w:rsidR="00847BDE">
        <w:t>B in another</w:t>
      </w:r>
      <w:r w:rsidR="008D0F33">
        <w:t xml:space="preserve"> DL</w:t>
      </w:r>
      <w:r w:rsidR="00847BDE">
        <w:t xml:space="preserve"> transmission burst, eNB transmission power at one carrier between DL transmission bursts can change by 10 × log10(23.94/4.51) = 7.25 dB.</w:t>
      </w:r>
    </w:p>
    <w:p w:rsidR="00A24FB6" w:rsidRDefault="00A24FB6" w:rsidP="00A24FB6">
      <w:pPr>
        <w:pStyle w:val="BodyText"/>
        <w:ind w:left="1080"/>
      </w:pPr>
    </w:p>
    <w:p w:rsidR="00B62A68" w:rsidRDefault="00B62A68" w:rsidP="00870399">
      <w:pPr>
        <w:pStyle w:val="BodyText"/>
      </w:pPr>
      <w:r>
        <w:t xml:space="preserve">We have </w:t>
      </w:r>
    </w:p>
    <w:p w:rsidR="00870399" w:rsidRDefault="00B62A68" w:rsidP="00870399">
      <w:pPr>
        <w:pStyle w:val="BodyText"/>
        <w:rPr>
          <w:b/>
        </w:rPr>
      </w:pPr>
      <w:r w:rsidRPr="00B62A68">
        <w:rPr>
          <w:b/>
        </w:rPr>
        <w:t>Observation 1:</w:t>
      </w:r>
      <w:r>
        <w:rPr>
          <w:b/>
        </w:rPr>
        <w:t xml:space="preserve"> </w:t>
      </w:r>
      <w:r w:rsidR="00B1552A">
        <w:rPr>
          <w:b/>
        </w:rPr>
        <w:t>the current LTE downlink power control mechanism already supports</w:t>
      </w:r>
      <w:r>
        <w:rPr>
          <w:b/>
        </w:rPr>
        <w:t xml:space="preserve"> transmission power </w:t>
      </w:r>
      <w:r w:rsidR="00B1552A">
        <w:rPr>
          <w:b/>
        </w:rPr>
        <w:t>fluctuation</w:t>
      </w:r>
      <w:r>
        <w:rPr>
          <w:b/>
        </w:rPr>
        <w:t xml:space="preserve"> from one burst to another by up to 7.25 dB.</w:t>
      </w:r>
    </w:p>
    <w:p w:rsidR="00B62A68" w:rsidRDefault="00B62A68" w:rsidP="00870399">
      <w:pPr>
        <w:pStyle w:val="BodyText"/>
        <w:rPr>
          <w:b/>
        </w:rPr>
      </w:pPr>
    </w:p>
    <w:p w:rsidR="00EA3CC8" w:rsidRPr="001F0915" w:rsidRDefault="00EA3CC8" w:rsidP="00870399">
      <w:pPr>
        <w:pStyle w:val="BodyText"/>
      </w:pPr>
      <w:r w:rsidRPr="00EA3CC8">
        <w:t>In the st</w:t>
      </w:r>
      <w:r w:rsidR="001F0915">
        <w:t>udy of 256QAM in Rel-12</w:t>
      </w:r>
      <w:r w:rsidRPr="00EA3CC8">
        <w:t xml:space="preserve">, according to </w:t>
      </w:r>
      <w:r w:rsidR="00F57CD4">
        <w:fldChar w:fldCharType="begin"/>
      </w:r>
      <w:r w:rsidR="006029D1">
        <w:instrText xml:space="preserve"> REF _Ref434341110 \r \h </w:instrText>
      </w:r>
      <w:r w:rsidR="00F57CD4">
        <w:fldChar w:fldCharType="separate"/>
      </w:r>
      <w:r w:rsidR="006029D1">
        <w:t>[3]</w:t>
      </w:r>
      <w:r w:rsidR="00F57CD4">
        <w:fldChar w:fldCharType="end"/>
      </w:r>
      <w:r w:rsidR="006029D1">
        <w:t xml:space="preserve"> "t</w:t>
      </w:r>
      <w:r w:rsidRPr="006029D1">
        <w:rPr>
          <w:rFonts w:hint="eastAsia"/>
          <w:i/>
          <w:lang w:eastAsia="zh-CN"/>
        </w:rPr>
        <w:t>yp</w:t>
      </w:r>
      <w:r w:rsidRPr="00942FAE">
        <w:rPr>
          <w:rFonts w:hint="eastAsia"/>
          <w:i/>
          <w:lang w:eastAsia="zh-CN"/>
        </w:rPr>
        <w:t xml:space="preserve">ically </w:t>
      </w:r>
      <w:r w:rsidRPr="00E42AEE">
        <w:rPr>
          <w:rFonts w:hint="eastAsia"/>
          <w:i/>
          <w:lang w:eastAsia="zh-CN"/>
        </w:rPr>
        <w:t>1 or 2 dB p</w:t>
      </w:r>
      <w:r w:rsidRPr="00E42AEE">
        <w:rPr>
          <w:i/>
        </w:rPr>
        <w:t>ower back-off</w:t>
      </w:r>
      <w:r w:rsidRPr="00E42AEE">
        <w:rPr>
          <w:rFonts w:hint="eastAsia"/>
          <w:i/>
          <w:lang w:eastAsia="zh-CN"/>
        </w:rPr>
        <w:t xml:space="preserve"> could be used for small cells with transmit power </w:t>
      </w:r>
      <w:r w:rsidRPr="00E42AEE">
        <w:rPr>
          <w:i/>
        </w:rPr>
        <w:t>20dBm, 24dBm, 30dBm BS</w:t>
      </w:r>
      <w:r>
        <w:rPr>
          <w:rFonts w:hint="eastAsia"/>
          <w:i/>
          <w:lang w:eastAsia="zh-CN"/>
        </w:rPr>
        <w:t xml:space="preserve"> to achieve low </w:t>
      </w:r>
      <w:proofErr w:type="gramStart"/>
      <w:r>
        <w:rPr>
          <w:rFonts w:hint="eastAsia"/>
          <w:i/>
          <w:lang w:eastAsia="zh-CN"/>
        </w:rPr>
        <w:t>Tx</w:t>
      </w:r>
      <w:proofErr w:type="gramEnd"/>
      <w:r>
        <w:rPr>
          <w:rFonts w:hint="eastAsia"/>
          <w:i/>
          <w:lang w:eastAsia="zh-CN"/>
        </w:rPr>
        <w:t xml:space="preserve"> EVM</w:t>
      </w:r>
      <w:r w:rsidRPr="00E42AEE">
        <w:rPr>
          <w:rFonts w:hint="eastAsia"/>
          <w:i/>
          <w:lang w:eastAsia="zh-CN"/>
        </w:rPr>
        <w:t>.</w:t>
      </w:r>
      <w:r w:rsidR="006029D1">
        <w:rPr>
          <w:i/>
          <w:lang w:eastAsia="zh-CN"/>
        </w:rPr>
        <w:t>"</w:t>
      </w:r>
      <w:r w:rsidR="001F0915">
        <w:rPr>
          <w:i/>
          <w:lang w:eastAsia="zh-CN"/>
        </w:rPr>
        <w:t xml:space="preserve"> </w:t>
      </w:r>
      <w:r w:rsidR="001F0915">
        <w:rPr>
          <w:lang w:eastAsia="zh-CN"/>
        </w:rPr>
        <w:t>Hence we conclude power backoff needed for 256QAM is around 2 dB.</w:t>
      </w:r>
      <w:r w:rsidR="00FB742B">
        <w:rPr>
          <w:lang w:eastAsia="zh-CN"/>
        </w:rPr>
        <w:t xml:space="preserve"> If eNB finds it is beneficial to support 256QAM for a UE, it can always configure the needed PA to achieve that.</w:t>
      </w:r>
    </w:p>
    <w:p w:rsidR="00EA3CC8" w:rsidRDefault="00EA3CC8" w:rsidP="00870399">
      <w:pPr>
        <w:pStyle w:val="BodyText"/>
        <w:rPr>
          <w:b/>
          <w:color w:val="FF0000"/>
        </w:rPr>
      </w:pPr>
    </w:p>
    <w:p w:rsidR="00B1552A" w:rsidRDefault="00A27AB7" w:rsidP="00870399">
      <w:pPr>
        <w:pStyle w:val="BodyText"/>
      </w:pPr>
      <w:r>
        <w:t>When CRS and CSI-RS transmission does not have a constant po</w:t>
      </w:r>
      <w:r w:rsidR="00B1552A">
        <w:t>wer</w:t>
      </w:r>
      <w:r>
        <w:t xml:space="preserve">, much is given away as smoothing across TTIs </w:t>
      </w:r>
      <w:r w:rsidR="003130E7">
        <w:t>necessitates</w:t>
      </w:r>
      <w:r>
        <w:t xml:space="preserve"> steps to check whether TTIs belong to one DL transmission burst or not</w:t>
      </w:r>
      <w:r w:rsidR="004A594F">
        <w:t xml:space="preserve"> among other things</w:t>
      </w:r>
      <w:r>
        <w:t>.</w:t>
      </w:r>
      <w:r w:rsidR="00B1552A">
        <w:t xml:space="preserve"> </w:t>
      </w:r>
    </w:p>
    <w:p w:rsidR="00B1552A" w:rsidRDefault="00B1552A" w:rsidP="00870399">
      <w:pPr>
        <w:pStyle w:val="BodyText"/>
      </w:pPr>
    </w:p>
    <w:p w:rsidR="00F467A9" w:rsidRDefault="00B1552A" w:rsidP="00870399">
      <w:pPr>
        <w:pStyle w:val="BodyText"/>
      </w:pPr>
      <w:r>
        <w:t xml:space="preserve">In the previous RAN1 meeting discussion, it seems there was no clear answer to the question what kind of power fluctuation is expected in multicarrier LAA operation. But it should be clear by giving up the requirement that CRS and CSI-RS have a constant power, a much higher power fluctuation than 7.25 dB should be supported –otherwise it does not make sense to introduce a new feature with no apparent use case. </w:t>
      </w:r>
    </w:p>
    <w:p w:rsidR="009113C1" w:rsidRDefault="009113C1" w:rsidP="00870399">
      <w:pPr>
        <w:pStyle w:val="BodyText"/>
      </w:pPr>
    </w:p>
    <w:p w:rsidR="00B1552A" w:rsidRDefault="00B1552A" w:rsidP="00870399">
      <w:pPr>
        <w:pStyle w:val="BodyText"/>
      </w:pPr>
      <w:r>
        <w:t>We have</w:t>
      </w:r>
    </w:p>
    <w:p w:rsidR="00B1552A" w:rsidRDefault="00B1552A" w:rsidP="00B1552A">
      <w:pPr>
        <w:pStyle w:val="BodyText"/>
        <w:rPr>
          <w:b/>
        </w:rPr>
      </w:pPr>
      <w:r w:rsidRPr="00B62A68">
        <w:rPr>
          <w:b/>
        </w:rPr>
        <w:lastRenderedPageBreak/>
        <w:t xml:space="preserve">Observation </w:t>
      </w:r>
      <w:r>
        <w:rPr>
          <w:b/>
        </w:rPr>
        <w:t>2</w:t>
      </w:r>
      <w:r w:rsidRPr="00B62A68">
        <w:rPr>
          <w:b/>
        </w:rPr>
        <w:t>:</w:t>
      </w:r>
      <w:r>
        <w:rPr>
          <w:b/>
        </w:rPr>
        <w:t xml:space="preserve"> a use case </w:t>
      </w:r>
      <w:r w:rsidR="00736EA6">
        <w:rPr>
          <w:b/>
        </w:rPr>
        <w:t xml:space="preserve">is needed to justify </w:t>
      </w:r>
      <w:r>
        <w:rPr>
          <w:b/>
        </w:rPr>
        <w:t xml:space="preserve">power fluctuation much higher than 7.25 dB </w:t>
      </w:r>
      <w:r w:rsidR="00736EA6">
        <w:rPr>
          <w:b/>
        </w:rPr>
        <w:t>w</w:t>
      </w:r>
      <w:r>
        <w:rPr>
          <w:b/>
        </w:rPr>
        <w:t>hen giving up the requirement that CR</w:t>
      </w:r>
      <w:r w:rsidR="00736EA6">
        <w:rPr>
          <w:b/>
        </w:rPr>
        <w:t>S &amp; CSI-RS have constant power</w:t>
      </w:r>
      <w:r>
        <w:rPr>
          <w:b/>
        </w:rPr>
        <w:t>.</w:t>
      </w:r>
    </w:p>
    <w:p w:rsidR="00B1552A" w:rsidRDefault="00B1552A" w:rsidP="00870399">
      <w:pPr>
        <w:pStyle w:val="BodyText"/>
      </w:pPr>
    </w:p>
    <w:p w:rsidR="00F41ACE" w:rsidRDefault="00F41ACE" w:rsidP="00870399">
      <w:pPr>
        <w:pStyle w:val="BodyText"/>
      </w:pPr>
      <w:r>
        <w:t>From the above analysis, it is clear when CRS/CSI-RS transmission power is allowed to change; power fluctuation more than 7.25 dB across DL transmission bursts is likely. In this, AGC may become problematic and an initial signal or reservation signal to help UE set AGC can be necessary. We have</w:t>
      </w:r>
    </w:p>
    <w:p w:rsidR="00693036" w:rsidRDefault="00F41ACE" w:rsidP="00870399">
      <w:pPr>
        <w:pStyle w:val="BodyText"/>
        <w:rPr>
          <w:b/>
        </w:rPr>
      </w:pPr>
      <w:r w:rsidRPr="00EF0245">
        <w:rPr>
          <w:b/>
        </w:rPr>
        <w:t>Observation 3:  when CRS/CSI-RS transmission power is allowed to change; power fluctuation more than 7.25 dB across DL transmission bursts is likely, an initial signal/reservation signal to help UE set AGC can be necessary.</w:t>
      </w:r>
    </w:p>
    <w:p w:rsidR="00F34E84" w:rsidRDefault="00F34E84" w:rsidP="00870399">
      <w:pPr>
        <w:pStyle w:val="BodyText"/>
        <w:rPr>
          <w:b/>
        </w:rPr>
      </w:pPr>
    </w:p>
    <w:p w:rsidR="00F34E84" w:rsidRPr="00463DBC" w:rsidRDefault="00F34E84" w:rsidP="00F34E84">
      <w:pPr>
        <w:pStyle w:val="Header"/>
        <w:tabs>
          <w:tab w:val="clear" w:pos="4536"/>
          <w:tab w:val="clear" w:pos="9072"/>
          <w:tab w:val="left" w:pos="2160"/>
        </w:tabs>
        <w:spacing w:line="400" w:lineRule="exact"/>
        <w:jc w:val="both"/>
        <w:rPr>
          <w:sz w:val="28"/>
          <w:szCs w:val="28"/>
        </w:rPr>
      </w:pPr>
      <w:r w:rsidRPr="00F57CD4">
        <w:rPr>
          <w:sz w:val="28"/>
          <w:szCs w:val="28"/>
        </w:rPr>
        <w:pict>
          <v:rect id="_x0000_i1030" style="width:482.4pt;height:1.5pt" o:hralign="center" o:hrstd="t" o:hrnoshade="t" o:hr="t" fillcolor="black" stroked="f"/>
        </w:pict>
      </w:r>
    </w:p>
    <w:p w:rsidR="00F34E84" w:rsidRDefault="00F34E84" w:rsidP="00F34E84">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 xml:space="preserve">Channel access and partial </w:t>
      </w:r>
      <w:proofErr w:type="spellStart"/>
      <w:r>
        <w:rPr>
          <w:b w:val="0"/>
          <w:sz w:val="32"/>
        </w:rPr>
        <w:t>subframe</w:t>
      </w:r>
      <w:proofErr w:type="spellEnd"/>
      <w:r>
        <w:rPr>
          <w:b w:val="0"/>
          <w:sz w:val="32"/>
        </w:rPr>
        <w:t xml:space="preserve"> design</w:t>
      </w:r>
    </w:p>
    <w:p w:rsidR="00F4039D" w:rsidRDefault="0069367D" w:rsidP="00870399">
      <w:pPr>
        <w:pStyle w:val="BodyText"/>
      </w:pPr>
      <w:r>
        <w:t xml:space="preserve">In unlicensed spectrum channel access, </w:t>
      </w:r>
      <w:proofErr w:type="gramStart"/>
      <w:r>
        <w:t xml:space="preserve">if  </w:t>
      </w:r>
      <w:proofErr w:type="spellStart"/>
      <w:r>
        <w:t>WiFi's</w:t>
      </w:r>
      <w:proofErr w:type="spellEnd"/>
      <w:proofErr w:type="gramEnd"/>
      <w:r>
        <w:t xml:space="preserve"> design is followed, data transmission can start soon after channel access is won. In some sense the floating </w:t>
      </w:r>
      <w:proofErr w:type="spellStart"/>
      <w:r>
        <w:t>subframe</w:t>
      </w:r>
      <w:proofErr w:type="spellEnd"/>
      <w:r>
        <w:t xml:space="preserve"> design shares such a flavor. </w:t>
      </w:r>
    </w:p>
    <w:p w:rsidR="00F4039D" w:rsidRDefault="00F4039D" w:rsidP="00870399">
      <w:pPr>
        <w:pStyle w:val="BodyText"/>
      </w:pPr>
    </w:p>
    <w:p w:rsidR="00502D2A" w:rsidRDefault="0069367D" w:rsidP="00870399">
      <w:pPr>
        <w:pStyle w:val="BodyText"/>
      </w:pPr>
      <w:r>
        <w:t xml:space="preserve">If licensed band LTE access is followed, then data transmission can start only at one or more fixed timing in a </w:t>
      </w:r>
      <w:proofErr w:type="spellStart"/>
      <w:r>
        <w:t>subframe</w:t>
      </w:r>
      <w:proofErr w:type="spellEnd"/>
      <w:r w:rsidR="00F4039D">
        <w:t xml:space="preserve">; some signal from </w:t>
      </w:r>
      <w:proofErr w:type="spellStart"/>
      <w:r w:rsidR="00F4039D">
        <w:t>eNB</w:t>
      </w:r>
      <w:proofErr w:type="spellEnd"/>
      <w:r w:rsidR="00F4039D">
        <w:t xml:space="preserve"> needs to be transmitted to hold a channel. H</w:t>
      </w:r>
      <w:r w:rsidR="00502D2A">
        <w:t>ence in reality it is often</w:t>
      </w:r>
      <w:r w:rsidR="00F4039D">
        <w:t xml:space="preserve"> </w:t>
      </w:r>
      <w:proofErr w:type="spellStart"/>
      <w:r w:rsidR="00F4039D">
        <w:t>eNB</w:t>
      </w:r>
      <w:proofErr w:type="spellEnd"/>
      <w:r w:rsidR="00F4039D">
        <w:t xml:space="preserve"> already needs to send some signal to hold a channel, and a UE may use that signal for s</w:t>
      </w:r>
      <w:r w:rsidR="00502D2A">
        <w:t xml:space="preserve">etting AGC, if the UE has the information of the signal's transmission parameters such as antenna port. Without the clarity from specification concerning the signal's transmission parameters such antenna port, the UE performance has to be defined assuming no utilization of the reservation/initial signal. </w:t>
      </w:r>
    </w:p>
    <w:p w:rsidR="00C22F5A" w:rsidRPr="00463DBC" w:rsidRDefault="00F57CD4" w:rsidP="00C22F5A">
      <w:pPr>
        <w:pStyle w:val="Header"/>
        <w:tabs>
          <w:tab w:val="clear" w:pos="4536"/>
          <w:tab w:val="clear" w:pos="9072"/>
          <w:tab w:val="left" w:pos="2160"/>
        </w:tabs>
        <w:spacing w:line="400" w:lineRule="exact"/>
        <w:jc w:val="both"/>
        <w:rPr>
          <w:sz w:val="28"/>
          <w:szCs w:val="28"/>
        </w:rPr>
      </w:pPr>
      <w:r w:rsidRPr="00F57CD4">
        <w:rPr>
          <w:sz w:val="28"/>
          <w:szCs w:val="28"/>
        </w:rPr>
        <w:pict>
          <v:rect id="_x0000_i1027" style="width:482.4pt;height:1.5pt" o:hralign="center" o:hrstd="t" o:hrnoshade="t" o:hr="t" fillcolor="black" stroked="f"/>
        </w:pict>
      </w:r>
    </w:p>
    <w:p w:rsidR="00C22F5A" w:rsidRDefault="00C22F5A" w:rsidP="00C22F5A">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DRX and initial signal</w:t>
      </w:r>
    </w:p>
    <w:p w:rsidR="00693036" w:rsidRDefault="002220EF" w:rsidP="00870399">
      <w:pPr>
        <w:pStyle w:val="BodyText"/>
      </w:pPr>
      <w:r>
        <w:t xml:space="preserve">UEs waking up from DRX have been considered in DL signaling discussions. Here we would like to point out that while </w:t>
      </w:r>
      <w:r w:rsidR="00E73730">
        <w:t xml:space="preserve">that a </w:t>
      </w:r>
      <w:r w:rsidR="004A48EA">
        <w:t>UE waking</w:t>
      </w:r>
      <w:r>
        <w:t xml:space="preserve"> up from </w:t>
      </w:r>
      <w:r w:rsidR="00E73730">
        <w:t>DRX starts</w:t>
      </w:r>
      <w:r>
        <w:t xml:space="preserve"> DL reception on a LAA carrier in the middle of DL transmission burst may be </w:t>
      </w:r>
      <w:proofErr w:type="gramStart"/>
      <w:r w:rsidR="00E73730">
        <w:t>a legitimate use case, that do</w:t>
      </w:r>
      <w:proofErr w:type="gramEnd"/>
      <w:r>
        <w:t xml:space="preserve"> not diminish the importance of the LAA initial signal at the beginning of DL transmission burst. </w:t>
      </w:r>
    </w:p>
    <w:p w:rsidR="00103F5B" w:rsidRDefault="002220EF" w:rsidP="00870399">
      <w:pPr>
        <w:pStyle w:val="BodyText"/>
      </w:pPr>
      <w:r>
        <w:t xml:space="preserve">If a UE wakes up in the middle of a LAA DL transmission burst from its own serving cell, it can use the signals/channels in the DL transmission burst to set its AGC. </w:t>
      </w:r>
    </w:p>
    <w:p w:rsidR="00E73730" w:rsidRDefault="002220EF" w:rsidP="00870399">
      <w:pPr>
        <w:pStyle w:val="BodyText"/>
      </w:pPr>
      <w:r>
        <w:t>An equally legitimate (if not more) case is UE wakes up before the start of LAA DL transmission burst from its own serving cell. In that</w:t>
      </w:r>
      <w:r w:rsidR="000D577C">
        <w:t xml:space="preserve"> case</w:t>
      </w:r>
      <w:r>
        <w:t xml:space="preserve">, if there is no LAA initial signal or reservation signal, the very first signal it receives </w:t>
      </w:r>
      <w:r w:rsidR="00103F5B">
        <w:t xml:space="preserve">is the CRS signal on symbol 0 in a </w:t>
      </w:r>
      <w:proofErr w:type="spellStart"/>
      <w:r w:rsidR="00103F5B">
        <w:t>subframe</w:t>
      </w:r>
      <w:proofErr w:type="spellEnd"/>
      <w:r w:rsidR="00103F5B">
        <w:t xml:space="preserve">. </w:t>
      </w:r>
    </w:p>
    <w:p w:rsidR="00746E8D" w:rsidRDefault="00103F5B" w:rsidP="00870399">
      <w:pPr>
        <w:pStyle w:val="BodyText"/>
      </w:pPr>
      <w:r>
        <w:t xml:space="preserve">Consider the DL signaling from email discussions, it is expected important DL signaling will be carried over PDCCH or PHICH as proposed by some companies. We note in that case the transmission of the important DL signaling starts also on symbol 0 in a </w:t>
      </w:r>
      <w:proofErr w:type="spellStart"/>
      <w:r>
        <w:t>subframe</w:t>
      </w:r>
      <w:proofErr w:type="spellEnd"/>
      <w:r>
        <w:t xml:space="preserve">. Then a LAA initial signal can be used to tune timing/frequency synchronization and AGC, and achieving good demodulation performance for the all important DL signaling. </w:t>
      </w:r>
      <w:r w:rsidR="000D577C">
        <w:t xml:space="preserve">The alternative is to let that UE receive one or more </w:t>
      </w:r>
      <w:proofErr w:type="spellStart"/>
      <w:r w:rsidR="000D577C">
        <w:t>subfame</w:t>
      </w:r>
      <w:proofErr w:type="spellEnd"/>
      <w:r w:rsidR="000D577C">
        <w:t xml:space="preserve"> in the DL transmission burst, and gives it </w:t>
      </w:r>
      <w:r w:rsidR="00E73730">
        <w:t xml:space="preserve">more </w:t>
      </w:r>
      <w:r w:rsidR="000D577C">
        <w:t xml:space="preserve">time to track timing/frequency and set AGC. But that makes the design based the assumption a UE wakes up in middle of a DL transmission burst and can be scheduled by </w:t>
      </w:r>
      <w:r w:rsidR="008C7F98">
        <w:t>eNB already</w:t>
      </w:r>
      <w:r w:rsidR="000D577C">
        <w:t xml:space="preserve"> less useful.</w:t>
      </w:r>
    </w:p>
    <w:p w:rsidR="000D577C" w:rsidRDefault="000D577C" w:rsidP="00870399">
      <w:pPr>
        <w:pStyle w:val="BodyText"/>
      </w:pPr>
      <w:r>
        <w:t xml:space="preserve">We have </w:t>
      </w:r>
    </w:p>
    <w:p w:rsidR="000D577C" w:rsidRDefault="00E73730" w:rsidP="00870399">
      <w:pPr>
        <w:pStyle w:val="BodyText"/>
        <w:rPr>
          <w:b/>
        </w:rPr>
      </w:pPr>
      <w:r w:rsidRPr="000D412F">
        <w:rPr>
          <w:b/>
        </w:rPr>
        <w:t xml:space="preserve">Proposal: Initial signal is introduced to help UE perform timing/frequency </w:t>
      </w:r>
      <w:r w:rsidR="000D412F" w:rsidRPr="000D412F">
        <w:rPr>
          <w:b/>
        </w:rPr>
        <w:t>synchronization</w:t>
      </w:r>
      <w:r w:rsidRPr="000D412F">
        <w:rPr>
          <w:b/>
        </w:rPr>
        <w:t xml:space="preserve"> and set AGC.</w:t>
      </w:r>
    </w:p>
    <w:p w:rsidR="000D412F" w:rsidRDefault="000D412F" w:rsidP="00870399">
      <w:pPr>
        <w:pStyle w:val="BodyText"/>
        <w:rPr>
          <w:b/>
        </w:rPr>
      </w:pPr>
    </w:p>
    <w:p w:rsidR="000D412F" w:rsidRPr="00463DBC" w:rsidRDefault="00F57CD4" w:rsidP="000D412F">
      <w:pPr>
        <w:pStyle w:val="Header"/>
        <w:tabs>
          <w:tab w:val="clear" w:pos="4536"/>
          <w:tab w:val="clear" w:pos="9072"/>
          <w:tab w:val="left" w:pos="2160"/>
        </w:tabs>
        <w:spacing w:line="400" w:lineRule="exact"/>
        <w:jc w:val="both"/>
        <w:rPr>
          <w:sz w:val="28"/>
          <w:szCs w:val="28"/>
        </w:rPr>
      </w:pPr>
      <w:r w:rsidRPr="00F57CD4">
        <w:rPr>
          <w:sz w:val="28"/>
          <w:szCs w:val="28"/>
        </w:rPr>
        <w:pict>
          <v:rect id="_x0000_i1028" style="width:482.4pt;height:1.5pt" o:hralign="center" o:hrstd="t" o:hrnoshade="t" o:hr="t" fillcolor="black" stroked="f"/>
        </w:pict>
      </w:r>
    </w:p>
    <w:p w:rsidR="000D412F" w:rsidRDefault="000D412F" w:rsidP="000D412F">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Conclusion</w:t>
      </w:r>
    </w:p>
    <w:p w:rsidR="000D412F" w:rsidRDefault="000D412F" w:rsidP="000D412F">
      <w:pPr>
        <w:pStyle w:val="BodyText"/>
        <w:jc w:val="left"/>
      </w:pPr>
      <w:r>
        <w:lastRenderedPageBreak/>
        <w:t xml:space="preserve">In this contribution, we discuss working assumption/agreement from previous meetings pertinent to LAA initial signal design. We have </w:t>
      </w:r>
    </w:p>
    <w:p w:rsidR="000D412F" w:rsidRDefault="000D412F" w:rsidP="000D412F">
      <w:pPr>
        <w:pStyle w:val="BodyText"/>
        <w:jc w:val="left"/>
        <w:rPr>
          <w:b/>
        </w:rPr>
      </w:pPr>
      <w:r w:rsidRPr="000D412F">
        <w:rPr>
          <w:b/>
        </w:rPr>
        <w:t>Proposal: Initial signal is introduced to help UE perform timing/frequency synchronization and set AGC.</w:t>
      </w:r>
    </w:p>
    <w:p w:rsidR="000D412F" w:rsidRPr="000D412F" w:rsidRDefault="000D412F" w:rsidP="00870399">
      <w:pPr>
        <w:pStyle w:val="BodyText"/>
        <w:rPr>
          <w:b/>
          <w:color w:val="FF0000"/>
        </w:rPr>
      </w:pPr>
    </w:p>
    <w:p w:rsidR="00F5137B" w:rsidRPr="00E939F2" w:rsidRDefault="00F57CD4" w:rsidP="002220EF">
      <w:pPr>
        <w:pStyle w:val="Heading1"/>
        <w:keepNext w:val="0"/>
        <w:widowControl w:val="0"/>
        <w:autoSpaceDE w:val="0"/>
        <w:autoSpaceDN w:val="0"/>
        <w:adjustRightInd w:val="0"/>
        <w:spacing w:before="0" w:after="240"/>
        <w:jc w:val="both"/>
        <w:rPr>
          <w:szCs w:val="28"/>
        </w:rPr>
      </w:pPr>
      <w:r>
        <w:pict>
          <v:rect id="_x0000_i1029" style="width:482.4pt;height:1.5pt" o:hralign="center" o:hrstd="t" o:hrnoshade="t" o:hr="t" fillcolor="black" stroked="f"/>
        </w:pict>
      </w:r>
    </w:p>
    <w:bookmarkEnd w:id="1"/>
    <w:bookmarkEnd w:id="2"/>
    <w:bookmarkEnd w:id="3"/>
    <w:bookmarkEnd w:id="4"/>
    <w:p w:rsidR="0068080D" w:rsidRPr="00AE0ED7" w:rsidRDefault="0068080D" w:rsidP="0068080D">
      <w:pPr>
        <w:pStyle w:val="Heading1"/>
      </w:pPr>
      <w:r w:rsidRPr="00AE0ED7">
        <w:t>References</w:t>
      </w:r>
    </w:p>
    <w:p w:rsidR="0068080D" w:rsidRPr="0068080D" w:rsidRDefault="0068080D" w:rsidP="00D92425">
      <w:pPr>
        <w:pStyle w:val="References"/>
        <w:numPr>
          <w:ilvl w:val="0"/>
          <w:numId w:val="4"/>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D92425">
      <w:pPr>
        <w:pStyle w:val="References"/>
        <w:numPr>
          <w:ilvl w:val="0"/>
          <w:numId w:val="4"/>
        </w:numPr>
        <w:rPr>
          <w:rFonts w:eastAsia="PMingLiU"/>
          <w:lang w:eastAsia="zh-TW"/>
        </w:rPr>
      </w:pPr>
      <w:bookmarkStart w:id="5"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5"/>
    </w:p>
    <w:p w:rsidR="00EF3ECA" w:rsidRDefault="00EA3CC8" w:rsidP="00EF3ECA">
      <w:pPr>
        <w:numPr>
          <w:ilvl w:val="0"/>
          <w:numId w:val="4"/>
        </w:numPr>
        <w:overflowPunct w:val="0"/>
        <w:autoSpaceDE w:val="0"/>
        <w:autoSpaceDN w:val="0"/>
        <w:adjustRightInd w:val="0"/>
        <w:spacing w:after="180"/>
        <w:textAlignment w:val="baseline"/>
      </w:pPr>
      <w:bookmarkStart w:id="6" w:name="_Ref434341110"/>
      <w:r>
        <w:t>R1-135032,"further evaluation on 256QAM", Huawei, November 2013</w:t>
      </w:r>
      <w:bookmarkEnd w:id="6"/>
    </w:p>
    <w:p w:rsidR="00EA3CC8" w:rsidRDefault="006029D1" w:rsidP="00EF3ECA">
      <w:pPr>
        <w:numPr>
          <w:ilvl w:val="0"/>
          <w:numId w:val="4"/>
        </w:numPr>
        <w:overflowPunct w:val="0"/>
        <w:autoSpaceDE w:val="0"/>
        <w:autoSpaceDN w:val="0"/>
        <w:adjustRightInd w:val="0"/>
        <w:spacing w:after="180"/>
        <w:textAlignment w:val="baseline"/>
      </w:pPr>
      <w:r>
        <w:t>R1-135583,"Effecto of eNB power back-off on 256QAM system performance", Nokia, NSN, November 2013</w:t>
      </w:r>
    </w:p>
    <w:sectPr w:rsidR="00EA3CC8"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6BD" w:rsidRDefault="006F26BD">
      <w:r>
        <w:separator/>
      </w:r>
    </w:p>
  </w:endnote>
  <w:endnote w:type="continuationSeparator" w:id="0">
    <w:p w:rsidR="006F26BD" w:rsidRDefault="006F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F57CD4">
    <w:pPr>
      <w:pStyle w:val="Footer"/>
      <w:jc w:val="center"/>
    </w:pPr>
    <w:fldSimple w:instr=" PAGE   \* MERGEFORMAT ">
      <w:r w:rsidR="00502D2A">
        <w:rPr>
          <w:noProof/>
        </w:rPr>
        <w:t>3</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6BD" w:rsidRDefault="006F26BD">
      <w:r>
        <w:separator/>
      </w:r>
    </w:p>
  </w:footnote>
  <w:footnote w:type="continuationSeparator" w:id="0">
    <w:p w:rsidR="006F26BD" w:rsidRDefault="006F2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13025A75"/>
    <w:multiLevelType w:val="hybridMultilevel"/>
    <w:tmpl w:val="CF744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270E55"/>
    <w:multiLevelType w:val="hybridMultilevel"/>
    <w:tmpl w:val="EAE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53D4C"/>
    <w:multiLevelType w:val="hybridMultilevel"/>
    <w:tmpl w:val="B6F0C3B8"/>
    <w:lvl w:ilvl="0" w:tplc="A3684274">
      <w:numFmt w:val="bullet"/>
      <w:lvlText w:val="&gt;"/>
      <w:lvlJc w:val="left"/>
      <w:pPr>
        <w:ind w:left="720" w:hanging="360"/>
      </w:pPr>
      <w:rPr>
        <w:rFonts w:ascii="Times New Roman" w:eastAsia="PMingLiU" w:hAnsi="Times New Roman" w:cs="Times New Roman" w:hint="default"/>
      </w:rPr>
    </w:lvl>
    <w:lvl w:ilvl="1" w:tplc="F6CEE17C">
      <w:numFmt w:val="bullet"/>
      <w:lvlText w:val=""/>
      <w:lvlJc w:val="left"/>
      <w:pPr>
        <w:ind w:left="1440" w:hanging="360"/>
      </w:pPr>
      <w:rPr>
        <w:rFonts w:ascii="Wingdings" w:eastAsia="PMingLiU"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31E99"/>
    <w:multiLevelType w:val="hybridMultilevel"/>
    <w:tmpl w:val="29EA5B74"/>
    <w:lvl w:ilvl="0" w:tplc="F3663B90">
      <w:start w:val="75"/>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CF56877"/>
    <w:multiLevelType w:val="hybridMultilevel"/>
    <w:tmpl w:val="B1DA89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9">
    <w:nsid w:val="42ED3A86"/>
    <w:multiLevelType w:val="hybridMultilevel"/>
    <w:tmpl w:val="4C1AE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E3D022B"/>
    <w:multiLevelType w:val="hybridMultilevel"/>
    <w:tmpl w:val="C834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1B7182"/>
    <w:multiLevelType w:val="hybridMultilevel"/>
    <w:tmpl w:val="8F2A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A36481"/>
    <w:multiLevelType w:val="hybridMultilevel"/>
    <w:tmpl w:val="FFFC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7"/>
  </w:num>
  <w:num w:numId="4">
    <w:abstractNumId w:val="6"/>
  </w:num>
  <w:num w:numId="5">
    <w:abstractNumId w:val="8"/>
  </w:num>
  <w:num w:numId="6">
    <w:abstractNumId w:val="11"/>
  </w:num>
  <w:num w:numId="7">
    <w:abstractNumId w:val="3"/>
  </w:num>
  <w:num w:numId="8">
    <w:abstractNumId w:val="1"/>
  </w:num>
  <w:num w:numId="9">
    <w:abstractNumId w:val="4"/>
  </w:num>
  <w:num w:numId="10">
    <w:abstractNumId w:val="9"/>
  </w:num>
  <w:num w:numId="11">
    <w:abstractNumId w:val="2"/>
  </w:num>
  <w:num w:numId="12">
    <w:abstractNumId w:val="13"/>
  </w:num>
  <w:num w:numId="13">
    <w:abstractNumId w:val="12"/>
  </w:num>
  <w:num w:numId="14">
    <w:abstractNumId w:val="5"/>
  </w:num>
  <w:num w:numId="15">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1310"/>
  <w:hyphenationZone w:val="425"/>
  <w:characterSpacingControl w:val="doNotCompress"/>
  <w:hdrShapeDefaults>
    <o:shapedefaults v:ext="edit" spidmax="71681"/>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D4"/>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762"/>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17E6D"/>
    <w:rsid w:val="0002055D"/>
    <w:rsid w:val="00020938"/>
    <w:rsid w:val="000213F6"/>
    <w:rsid w:val="00021486"/>
    <w:rsid w:val="000216E1"/>
    <w:rsid w:val="000219E0"/>
    <w:rsid w:val="00021E9E"/>
    <w:rsid w:val="00021FC5"/>
    <w:rsid w:val="000220DC"/>
    <w:rsid w:val="000224A0"/>
    <w:rsid w:val="00022597"/>
    <w:rsid w:val="00022A63"/>
    <w:rsid w:val="00022DC5"/>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8A0"/>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8E0"/>
    <w:rsid w:val="000C0DF5"/>
    <w:rsid w:val="000C1335"/>
    <w:rsid w:val="000C19A4"/>
    <w:rsid w:val="000C1C68"/>
    <w:rsid w:val="000C1DCB"/>
    <w:rsid w:val="000C1E9B"/>
    <w:rsid w:val="000C247F"/>
    <w:rsid w:val="000C35E3"/>
    <w:rsid w:val="000C3C89"/>
    <w:rsid w:val="000C3CFB"/>
    <w:rsid w:val="000C4183"/>
    <w:rsid w:val="000C522A"/>
    <w:rsid w:val="000C523E"/>
    <w:rsid w:val="000C58B1"/>
    <w:rsid w:val="000C5AAA"/>
    <w:rsid w:val="000C65DC"/>
    <w:rsid w:val="000C7B5C"/>
    <w:rsid w:val="000C7CD7"/>
    <w:rsid w:val="000C7FDB"/>
    <w:rsid w:val="000D0516"/>
    <w:rsid w:val="000D1353"/>
    <w:rsid w:val="000D1F9E"/>
    <w:rsid w:val="000D35A6"/>
    <w:rsid w:val="000D412F"/>
    <w:rsid w:val="000D41C1"/>
    <w:rsid w:val="000D470F"/>
    <w:rsid w:val="000D47CB"/>
    <w:rsid w:val="000D4E91"/>
    <w:rsid w:val="000D503C"/>
    <w:rsid w:val="000D577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71F"/>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3F5B"/>
    <w:rsid w:val="0010406F"/>
    <w:rsid w:val="001045CB"/>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B53"/>
    <w:rsid w:val="00115E08"/>
    <w:rsid w:val="00116101"/>
    <w:rsid w:val="001163FD"/>
    <w:rsid w:val="00116482"/>
    <w:rsid w:val="00116857"/>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282"/>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374E"/>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03"/>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0B9"/>
    <w:rsid w:val="001569D8"/>
    <w:rsid w:val="00156E43"/>
    <w:rsid w:val="00157EE7"/>
    <w:rsid w:val="001600F5"/>
    <w:rsid w:val="0016026A"/>
    <w:rsid w:val="0016047B"/>
    <w:rsid w:val="00160C42"/>
    <w:rsid w:val="00160E0E"/>
    <w:rsid w:val="0016153F"/>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77E98"/>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06D"/>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19D"/>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2F6"/>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915"/>
    <w:rsid w:val="001F0BC9"/>
    <w:rsid w:val="001F10BC"/>
    <w:rsid w:val="001F1221"/>
    <w:rsid w:val="001F16AC"/>
    <w:rsid w:val="001F1DB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4D21"/>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5BE"/>
    <w:rsid w:val="00210765"/>
    <w:rsid w:val="00210B5F"/>
    <w:rsid w:val="0021115E"/>
    <w:rsid w:val="00211621"/>
    <w:rsid w:val="00211BFD"/>
    <w:rsid w:val="0021236A"/>
    <w:rsid w:val="0021245E"/>
    <w:rsid w:val="00212517"/>
    <w:rsid w:val="00212FC5"/>
    <w:rsid w:val="00213082"/>
    <w:rsid w:val="002138B8"/>
    <w:rsid w:val="00213C1B"/>
    <w:rsid w:val="00214391"/>
    <w:rsid w:val="002148C3"/>
    <w:rsid w:val="0021495A"/>
    <w:rsid w:val="00214F1C"/>
    <w:rsid w:val="00214F27"/>
    <w:rsid w:val="00215094"/>
    <w:rsid w:val="00215EAA"/>
    <w:rsid w:val="002160BF"/>
    <w:rsid w:val="00216137"/>
    <w:rsid w:val="002164A9"/>
    <w:rsid w:val="002167E0"/>
    <w:rsid w:val="00216A15"/>
    <w:rsid w:val="00216C18"/>
    <w:rsid w:val="0021702F"/>
    <w:rsid w:val="0021730B"/>
    <w:rsid w:val="0021747E"/>
    <w:rsid w:val="002175E2"/>
    <w:rsid w:val="00217B23"/>
    <w:rsid w:val="00217DEC"/>
    <w:rsid w:val="00220323"/>
    <w:rsid w:val="0022093C"/>
    <w:rsid w:val="00220C84"/>
    <w:rsid w:val="00220DD0"/>
    <w:rsid w:val="00221096"/>
    <w:rsid w:val="002210D2"/>
    <w:rsid w:val="00221393"/>
    <w:rsid w:val="002218F8"/>
    <w:rsid w:val="00221A26"/>
    <w:rsid w:val="002220EF"/>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39"/>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74C"/>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329"/>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77E8F"/>
    <w:rsid w:val="00280128"/>
    <w:rsid w:val="002803DA"/>
    <w:rsid w:val="002806CE"/>
    <w:rsid w:val="00281248"/>
    <w:rsid w:val="00281540"/>
    <w:rsid w:val="00281819"/>
    <w:rsid w:val="00281858"/>
    <w:rsid w:val="00281AB6"/>
    <w:rsid w:val="00282704"/>
    <w:rsid w:val="00282977"/>
    <w:rsid w:val="00282AD9"/>
    <w:rsid w:val="00282B92"/>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761"/>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C7824"/>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B58"/>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783"/>
    <w:rsid w:val="002E68D2"/>
    <w:rsid w:val="002E6DB3"/>
    <w:rsid w:val="002E751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808"/>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1B"/>
    <w:rsid w:val="003106D0"/>
    <w:rsid w:val="00310A96"/>
    <w:rsid w:val="00311BD1"/>
    <w:rsid w:val="00311DA4"/>
    <w:rsid w:val="0031288D"/>
    <w:rsid w:val="00312CDC"/>
    <w:rsid w:val="00312D3F"/>
    <w:rsid w:val="00312E90"/>
    <w:rsid w:val="003130E7"/>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097F"/>
    <w:rsid w:val="0035129C"/>
    <w:rsid w:val="00351468"/>
    <w:rsid w:val="00351491"/>
    <w:rsid w:val="00351943"/>
    <w:rsid w:val="0035195D"/>
    <w:rsid w:val="00351A25"/>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5F7"/>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141"/>
    <w:rsid w:val="003833A3"/>
    <w:rsid w:val="00383644"/>
    <w:rsid w:val="00383AF1"/>
    <w:rsid w:val="00384204"/>
    <w:rsid w:val="00384FD0"/>
    <w:rsid w:val="0038500E"/>
    <w:rsid w:val="00385088"/>
    <w:rsid w:val="0038512E"/>
    <w:rsid w:val="003858DD"/>
    <w:rsid w:val="00385CC3"/>
    <w:rsid w:val="00385DB8"/>
    <w:rsid w:val="00385E18"/>
    <w:rsid w:val="00385F6B"/>
    <w:rsid w:val="003864CE"/>
    <w:rsid w:val="003866A0"/>
    <w:rsid w:val="003868C9"/>
    <w:rsid w:val="00387A30"/>
    <w:rsid w:val="00387B46"/>
    <w:rsid w:val="00387CD4"/>
    <w:rsid w:val="00387D4C"/>
    <w:rsid w:val="00387EE7"/>
    <w:rsid w:val="00390AEC"/>
    <w:rsid w:val="00390BD7"/>
    <w:rsid w:val="00391094"/>
    <w:rsid w:val="00391459"/>
    <w:rsid w:val="00391A17"/>
    <w:rsid w:val="00391C52"/>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1D"/>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46A"/>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76E"/>
    <w:rsid w:val="00405C35"/>
    <w:rsid w:val="004068D5"/>
    <w:rsid w:val="0040697E"/>
    <w:rsid w:val="00406AEA"/>
    <w:rsid w:val="00406D9A"/>
    <w:rsid w:val="004072FD"/>
    <w:rsid w:val="00407A4E"/>
    <w:rsid w:val="00410926"/>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6A3"/>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AD1"/>
    <w:rsid w:val="00444C5A"/>
    <w:rsid w:val="00445111"/>
    <w:rsid w:val="004453EE"/>
    <w:rsid w:val="00446661"/>
    <w:rsid w:val="00446EAE"/>
    <w:rsid w:val="00447271"/>
    <w:rsid w:val="004473F5"/>
    <w:rsid w:val="00447EDB"/>
    <w:rsid w:val="0045060A"/>
    <w:rsid w:val="004506C7"/>
    <w:rsid w:val="004508E9"/>
    <w:rsid w:val="00450B30"/>
    <w:rsid w:val="00450E99"/>
    <w:rsid w:val="00450F41"/>
    <w:rsid w:val="00451353"/>
    <w:rsid w:val="00451515"/>
    <w:rsid w:val="00451977"/>
    <w:rsid w:val="00451A11"/>
    <w:rsid w:val="00451DEB"/>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3A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B4F"/>
    <w:rsid w:val="00474EF9"/>
    <w:rsid w:val="00475724"/>
    <w:rsid w:val="0047579C"/>
    <w:rsid w:val="004759B3"/>
    <w:rsid w:val="00475EC9"/>
    <w:rsid w:val="004761F6"/>
    <w:rsid w:val="0047643A"/>
    <w:rsid w:val="00476802"/>
    <w:rsid w:val="00477027"/>
    <w:rsid w:val="0047704F"/>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4DE0"/>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784"/>
    <w:rsid w:val="004A0886"/>
    <w:rsid w:val="004A0CA2"/>
    <w:rsid w:val="004A11C4"/>
    <w:rsid w:val="004A22D6"/>
    <w:rsid w:val="004A2599"/>
    <w:rsid w:val="004A292A"/>
    <w:rsid w:val="004A33AA"/>
    <w:rsid w:val="004A3DD4"/>
    <w:rsid w:val="004A3E38"/>
    <w:rsid w:val="004A40AF"/>
    <w:rsid w:val="004A4296"/>
    <w:rsid w:val="004A446B"/>
    <w:rsid w:val="004A48EA"/>
    <w:rsid w:val="004A5561"/>
    <w:rsid w:val="004A566D"/>
    <w:rsid w:val="004A575F"/>
    <w:rsid w:val="004A57B1"/>
    <w:rsid w:val="004A594F"/>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614"/>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ACC"/>
    <w:rsid w:val="004F0B2D"/>
    <w:rsid w:val="004F0C0F"/>
    <w:rsid w:val="004F1337"/>
    <w:rsid w:val="004F1412"/>
    <w:rsid w:val="004F17D7"/>
    <w:rsid w:val="004F1DC3"/>
    <w:rsid w:val="004F20E6"/>
    <w:rsid w:val="004F329C"/>
    <w:rsid w:val="004F3B58"/>
    <w:rsid w:val="004F3BC7"/>
    <w:rsid w:val="004F4584"/>
    <w:rsid w:val="004F5B1F"/>
    <w:rsid w:val="004F5FB8"/>
    <w:rsid w:val="004F6909"/>
    <w:rsid w:val="005000B7"/>
    <w:rsid w:val="0050025F"/>
    <w:rsid w:val="0050080F"/>
    <w:rsid w:val="0050176D"/>
    <w:rsid w:val="00502233"/>
    <w:rsid w:val="005026C2"/>
    <w:rsid w:val="00502AC8"/>
    <w:rsid w:val="00502D2A"/>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8B3"/>
    <w:rsid w:val="00530E99"/>
    <w:rsid w:val="005311D5"/>
    <w:rsid w:val="005312E7"/>
    <w:rsid w:val="00531347"/>
    <w:rsid w:val="005316E8"/>
    <w:rsid w:val="00532016"/>
    <w:rsid w:val="00532124"/>
    <w:rsid w:val="0053237C"/>
    <w:rsid w:val="0053253E"/>
    <w:rsid w:val="0053262A"/>
    <w:rsid w:val="00532DAF"/>
    <w:rsid w:val="0053322A"/>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01AA"/>
    <w:rsid w:val="0054142E"/>
    <w:rsid w:val="0054177D"/>
    <w:rsid w:val="00542815"/>
    <w:rsid w:val="00542C06"/>
    <w:rsid w:val="00543F98"/>
    <w:rsid w:val="00544039"/>
    <w:rsid w:val="00544149"/>
    <w:rsid w:val="00544305"/>
    <w:rsid w:val="00544636"/>
    <w:rsid w:val="005448D6"/>
    <w:rsid w:val="00544B22"/>
    <w:rsid w:val="0054531E"/>
    <w:rsid w:val="00545A55"/>
    <w:rsid w:val="00545F93"/>
    <w:rsid w:val="005460FE"/>
    <w:rsid w:val="0054690C"/>
    <w:rsid w:val="00546E11"/>
    <w:rsid w:val="005470C4"/>
    <w:rsid w:val="00547CFA"/>
    <w:rsid w:val="00550096"/>
    <w:rsid w:val="00550DE2"/>
    <w:rsid w:val="00550E75"/>
    <w:rsid w:val="005512F9"/>
    <w:rsid w:val="005515A5"/>
    <w:rsid w:val="00551DA2"/>
    <w:rsid w:val="0055212C"/>
    <w:rsid w:val="00552215"/>
    <w:rsid w:val="0055223D"/>
    <w:rsid w:val="00552C45"/>
    <w:rsid w:val="00552D98"/>
    <w:rsid w:val="00552F98"/>
    <w:rsid w:val="00553487"/>
    <w:rsid w:val="005538F2"/>
    <w:rsid w:val="00553BC7"/>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EAC"/>
    <w:rsid w:val="00577EBD"/>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BC9"/>
    <w:rsid w:val="00585D98"/>
    <w:rsid w:val="00585FDC"/>
    <w:rsid w:val="00586401"/>
    <w:rsid w:val="00586B93"/>
    <w:rsid w:val="00586CF5"/>
    <w:rsid w:val="00586F5A"/>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9C7"/>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207"/>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581"/>
    <w:rsid w:val="005D6BA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25C"/>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5B34"/>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29D1"/>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1FE"/>
    <w:rsid w:val="00622288"/>
    <w:rsid w:val="00622AD4"/>
    <w:rsid w:val="00623A8C"/>
    <w:rsid w:val="00623F53"/>
    <w:rsid w:val="0062405A"/>
    <w:rsid w:val="00624222"/>
    <w:rsid w:val="006245E7"/>
    <w:rsid w:val="0062472B"/>
    <w:rsid w:val="00624A70"/>
    <w:rsid w:val="00624D2A"/>
    <w:rsid w:val="00624DC3"/>
    <w:rsid w:val="006253E7"/>
    <w:rsid w:val="00625407"/>
    <w:rsid w:val="00625905"/>
    <w:rsid w:val="006260F1"/>
    <w:rsid w:val="006264D0"/>
    <w:rsid w:val="0062710E"/>
    <w:rsid w:val="00627DC3"/>
    <w:rsid w:val="0063024C"/>
    <w:rsid w:val="0063069B"/>
    <w:rsid w:val="006306B3"/>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7A4"/>
    <w:rsid w:val="0064799A"/>
    <w:rsid w:val="00647B29"/>
    <w:rsid w:val="00647BFD"/>
    <w:rsid w:val="00647C96"/>
    <w:rsid w:val="00647F4C"/>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D23"/>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4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036"/>
    <w:rsid w:val="0069315C"/>
    <w:rsid w:val="0069339E"/>
    <w:rsid w:val="0069367D"/>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E38"/>
    <w:rsid w:val="006B3FD6"/>
    <w:rsid w:val="006B4743"/>
    <w:rsid w:val="006B4EB6"/>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810"/>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0C"/>
    <w:rsid w:val="006E139C"/>
    <w:rsid w:val="006E14FC"/>
    <w:rsid w:val="006E1B3B"/>
    <w:rsid w:val="006E1FC8"/>
    <w:rsid w:val="006E2343"/>
    <w:rsid w:val="006E27FE"/>
    <w:rsid w:val="006E30BD"/>
    <w:rsid w:val="006E3C78"/>
    <w:rsid w:val="006E3D16"/>
    <w:rsid w:val="006E5195"/>
    <w:rsid w:val="006E545D"/>
    <w:rsid w:val="006E54B6"/>
    <w:rsid w:val="006E562F"/>
    <w:rsid w:val="006E58B7"/>
    <w:rsid w:val="006E6801"/>
    <w:rsid w:val="006E6B9E"/>
    <w:rsid w:val="006E6DE1"/>
    <w:rsid w:val="006E7402"/>
    <w:rsid w:val="006E7441"/>
    <w:rsid w:val="006E7772"/>
    <w:rsid w:val="006F0406"/>
    <w:rsid w:val="006F05A1"/>
    <w:rsid w:val="006F0A70"/>
    <w:rsid w:val="006F178D"/>
    <w:rsid w:val="006F17E0"/>
    <w:rsid w:val="006F188E"/>
    <w:rsid w:val="006F1AFB"/>
    <w:rsid w:val="006F1C31"/>
    <w:rsid w:val="006F1DCD"/>
    <w:rsid w:val="006F2267"/>
    <w:rsid w:val="006F2609"/>
    <w:rsid w:val="006F26BD"/>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45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2C9"/>
    <w:rsid w:val="007103F7"/>
    <w:rsid w:val="0071087C"/>
    <w:rsid w:val="00710FB3"/>
    <w:rsid w:val="0071113A"/>
    <w:rsid w:val="007119A1"/>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6EA6"/>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6E8D"/>
    <w:rsid w:val="007479A9"/>
    <w:rsid w:val="00747AD5"/>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3D9B"/>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353"/>
    <w:rsid w:val="00764601"/>
    <w:rsid w:val="00764955"/>
    <w:rsid w:val="00764A42"/>
    <w:rsid w:val="00764AB5"/>
    <w:rsid w:val="00765477"/>
    <w:rsid w:val="0076570E"/>
    <w:rsid w:val="00765B71"/>
    <w:rsid w:val="00765F82"/>
    <w:rsid w:val="00766135"/>
    <w:rsid w:val="007669B2"/>
    <w:rsid w:val="00767174"/>
    <w:rsid w:val="0076733B"/>
    <w:rsid w:val="00767580"/>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3ED3"/>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3E7"/>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0C5"/>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4E4"/>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2DA"/>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7"/>
    <w:rsid w:val="00805439"/>
    <w:rsid w:val="00805516"/>
    <w:rsid w:val="00805545"/>
    <w:rsid w:val="008059A4"/>
    <w:rsid w:val="00805C0C"/>
    <w:rsid w:val="008060FA"/>
    <w:rsid w:val="0080616A"/>
    <w:rsid w:val="00810209"/>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983"/>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6F2"/>
    <w:rsid w:val="008417C1"/>
    <w:rsid w:val="008424C4"/>
    <w:rsid w:val="00842E28"/>
    <w:rsid w:val="00843132"/>
    <w:rsid w:val="008431B0"/>
    <w:rsid w:val="008432E9"/>
    <w:rsid w:val="0084387D"/>
    <w:rsid w:val="008438C8"/>
    <w:rsid w:val="00843D7A"/>
    <w:rsid w:val="0084412A"/>
    <w:rsid w:val="0084487D"/>
    <w:rsid w:val="00844F92"/>
    <w:rsid w:val="0084607B"/>
    <w:rsid w:val="00847537"/>
    <w:rsid w:val="00847B00"/>
    <w:rsid w:val="00847B87"/>
    <w:rsid w:val="00847BDE"/>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399"/>
    <w:rsid w:val="0087096E"/>
    <w:rsid w:val="00870D2F"/>
    <w:rsid w:val="0087114B"/>
    <w:rsid w:val="008712F8"/>
    <w:rsid w:val="008720CB"/>
    <w:rsid w:val="008726A8"/>
    <w:rsid w:val="00872AAA"/>
    <w:rsid w:val="00872F86"/>
    <w:rsid w:val="0087394F"/>
    <w:rsid w:val="00873B8B"/>
    <w:rsid w:val="00873C5C"/>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280C"/>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52B1"/>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67"/>
    <w:rsid w:val="008C5E80"/>
    <w:rsid w:val="008C5F67"/>
    <w:rsid w:val="008C64CC"/>
    <w:rsid w:val="008C6578"/>
    <w:rsid w:val="008C6C86"/>
    <w:rsid w:val="008C6DF0"/>
    <w:rsid w:val="008C6FE0"/>
    <w:rsid w:val="008C7571"/>
    <w:rsid w:val="008C7AFA"/>
    <w:rsid w:val="008C7EA2"/>
    <w:rsid w:val="008C7F98"/>
    <w:rsid w:val="008D00AE"/>
    <w:rsid w:val="008D0A9D"/>
    <w:rsid w:val="008D0EEA"/>
    <w:rsid w:val="008D0F08"/>
    <w:rsid w:val="008D0F33"/>
    <w:rsid w:val="008D1A69"/>
    <w:rsid w:val="008D2065"/>
    <w:rsid w:val="008D2073"/>
    <w:rsid w:val="008D26D7"/>
    <w:rsid w:val="008D282E"/>
    <w:rsid w:val="008D2D1B"/>
    <w:rsid w:val="008D2DD9"/>
    <w:rsid w:val="008D45DA"/>
    <w:rsid w:val="008D47FB"/>
    <w:rsid w:val="008D4BA9"/>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3D8"/>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D60"/>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A5"/>
    <w:rsid w:val="009078CC"/>
    <w:rsid w:val="00907956"/>
    <w:rsid w:val="00910131"/>
    <w:rsid w:val="00910D82"/>
    <w:rsid w:val="00911019"/>
    <w:rsid w:val="00911198"/>
    <w:rsid w:val="00911308"/>
    <w:rsid w:val="009113C1"/>
    <w:rsid w:val="00911413"/>
    <w:rsid w:val="00911ACD"/>
    <w:rsid w:val="00912287"/>
    <w:rsid w:val="00912973"/>
    <w:rsid w:val="0091311B"/>
    <w:rsid w:val="00913538"/>
    <w:rsid w:val="00913B67"/>
    <w:rsid w:val="00914138"/>
    <w:rsid w:val="009143E8"/>
    <w:rsid w:val="00914817"/>
    <w:rsid w:val="009149AE"/>
    <w:rsid w:val="00914D5F"/>
    <w:rsid w:val="00915121"/>
    <w:rsid w:val="00915519"/>
    <w:rsid w:val="009159C5"/>
    <w:rsid w:val="009164B5"/>
    <w:rsid w:val="00916645"/>
    <w:rsid w:val="00916C13"/>
    <w:rsid w:val="00917178"/>
    <w:rsid w:val="00917A9A"/>
    <w:rsid w:val="009203B9"/>
    <w:rsid w:val="0092126E"/>
    <w:rsid w:val="009219F4"/>
    <w:rsid w:val="009229C1"/>
    <w:rsid w:val="00922BDD"/>
    <w:rsid w:val="00922E04"/>
    <w:rsid w:val="00923077"/>
    <w:rsid w:val="009236EC"/>
    <w:rsid w:val="009238A9"/>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71D"/>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57E"/>
    <w:rsid w:val="00945A26"/>
    <w:rsid w:val="00945BCC"/>
    <w:rsid w:val="00945DF6"/>
    <w:rsid w:val="00946844"/>
    <w:rsid w:val="00947806"/>
    <w:rsid w:val="0095025A"/>
    <w:rsid w:val="009502E2"/>
    <w:rsid w:val="00950559"/>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41"/>
    <w:rsid w:val="00965E99"/>
    <w:rsid w:val="00966434"/>
    <w:rsid w:val="00966CD6"/>
    <w:rsid w:val="00966DB6"/>
    <w:rsid w:val="0096730A"/>
    <w:rsid w:val="009676DF"/>
    <w:rsid w:val="00967775"/>
    <w:rsid w:val="00967817"/>
    <w:rsid w:val="009707BD"/>
    <w:rsid w:val="0097096B"/>
    <w:rsid w:val="00970FDD"/>
    <w:rsid w:val="009719AE"/>
    <w:rsid w:val="00971C6D"/>
    <w:rsid w:val="00971CFA"/>
    <w:rsid w:val="009722E8"/>
    <w:rsid w:val="009723E2"/>
    <w:rsid w:val="00972D63"/>
    <w:rsid w:val="0097359E"/>
    <w:rsid w:val="00973B57"/>
    <w:rsid w:val="00973E4C"/>
    <w:rsid w:val="0097414B"/>
    <w:rsid w:val="00974250"/>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F29"/>
    <w:rsid w:val="0098208C"/>
    <w:rsid w:val="00982940"/>
    <w:rsid w:val="0098324C"/>
    <w:rsid w:val="00983337"/>
    <w:rsid w:val="00983AEF"/>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23C"/>
    <w:rsid w:val="009943AE"/>
    <w:rsid w:val="00994B69"/>
    <w:rsid w:val="00994D6A"/>
    <w:rsid w:val="00994E59"/>
    <w:rsid w:val="00995057"/>
    <w:rsid w:val="009950E5"/>
    <w:rsid w:val="00995117"/>
    <w:rsid w:val="00995795"/>
    <w:rsid w:val="0099636D"/>
    <w:rsid w:val="009967B8"/>
    <w:rsid w:val="00997758"/>
    <w:rsid w:val="00997F67"/>
    <w:rsid w:val="009A1A33"/>
    <w:rsid w:val="009A1C15"/>
    <w:rsid w:val="009A2070"/>
    <w:rsid w:val="009A211E"/>
    <w:rsid w:val="009A2F53"/>
    <w:rsid w:val="009A32AA"/>
    <w:rsid w:val="009A3711"/>
    <w:rsid w:val="009A38E5"/>
    <w:rsid w:val="009A39FE"/>
    <w:rsid w:val="009A3FD0"/>
    <w:rsid w:val="009A3FF7"/>
    <w:rsid w:val="009A4818"/>
    <w:rsid w:val="009A4999"/>
    <w:rsid w:val="009A4E56"/>
    <w:rsid w:val="009A51A8"/>
    <w:rsid w:val="009A5693"/>
    <w:rsid w:val="009A5CCD"/>
    <w:rsid w:val="009A6C8D"/>
    <w:rsid w:val="009A7419"/>
    <w:rsid w:val="009A7AF6"/>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DF1"/>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BC9"/>
    <w:rsid w:val="009C6D77"/>
    <w:rsid w:val="009C6D8C"/>
    <w:rsid w:val="009C6DB3"/>
    <w:rsid w:val="009D0D1E"/>
    <w:rsid w:val="009D0F12"/>
    <w:rsid w:val="009D147D"/>
    <w:rsid w:val="009D1846"/>
    <w:rsid w:val="009D25DA"/>
    <w:rsid w:val="009D26BB"/>
    <w:rsid w:val="009D2700"/>
    <w:rsid w:val="009D27E3"/>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4C3"/>
    <w:rsid w:val="009F166A"/>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1F9D"/>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793"/>
    <w:rsid w:val="00A24AF4"/>
    <w:rsid w:val="00A24D55"/>
    <w:rsid w:val="00A24DC8"/>
    <w:rsid w:val="00A24FB6"/>
    <w:rsid w:val="00A2501D"/>
    <w:rsid w:val="00A25FF2"/>
    <w:rsid w:val="00A268DF"/>
    <w:rsid w:val="00A26ADD"/>
    <w:rsid w:val="00A27613"/>
    <w:rsid w:val="00A27858"/>
    <w:rsid w:val="00A27AB7"/>
    <w:rsid w:val="00A27CF0"/>
    <w:rsid w:val="00A302D9"/>
    <w:rsid w:val="00A307EF"/>
    <w:rsid w:val="00A3092F"/>
    <w:rsid w:val="00A30D8A"/>
    <w:rsid w:val="00A30ED1"/>
    <w:rsid w:val="00A31345"/>
    <w:rsid w:val="00A31A9A"/>
    <w:rsid w:val="00A31C29"/>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5F64"/>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494"/>
    <w:rsid w:val="00A53E46"/>
    <w:rsid w:val="00A54EDB"/>
    <w:rsid w:val="00A54F90"/>
    <w:rsid w:val="00A5518C"/>
    <w:rsid w:val="00A55581"/>
    <w:rsid w:val="00A55A7B"/>
    <w:rsid w:val="00A56298"/>
    <w:rsid w:val="00A57093"/>
    <w:rsid w:val="00A6001A"/>
    <w:rsid w:val="00A60C23"/>
    <w:rsid w:val="00A60E98"/>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6D66"/>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63E4"/>
    <w:rsid w:val="00A870B5"/>
    <w:rsid w:val="00A876E1"/>
    <w:rsid w:val="00A878B4"/>
    <w:rsid w:val="00A87A7C"/>
    <w:rsid w:val="00A907FA"/>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7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765"/>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1FB3"/>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6C27"/>
    <w:rsid w:val="00AD7995"/>
    <w:rsid w:val="00AD7C36"/>
    <w:rsid w:val="00AE071B"/>
    <w:rsid w:val="00AE09C4"/>
    <w:rsid w:val="00AE1C68"/>
    <w:rsid w:val="00AE1D25"/>
    <w:rsid w:val="00AE23F8"/>
    <w:rsid w:val="00AE256A"/>
    <w:rsid w:val="00AE2E23"/>
    <w:rsid w:val="00AE3008"/>
    <w:rsid w:val="00AE3CA4"/>
    <w:rsid w:val="00AE3E29"/>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43B"/>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5C4"/>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52A"/>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2C1"/>
    <w:rsid w:val="00B33E0F"/>
    <w:rsid w:val="00B34428"/>
    <w:rsid w:val="00B3468D"/>
    <w:rsid w:val="00B34DD8"/>
    <w:rsid w:val="00B34E98"/>
    <w:rsid w:val="00B357EB"/>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3A5B"/>
    <w:rsid w:val="00B543D6"/>
    <w:rsid w:val="00B54435"/>
    <w:rsid w:val="00B546C7"/>
    <w:rsid w:val="00B54B83"/>
    <w:rsid w:val="00B551C4"/>
    <w:rsid w:val="00B5526B"/>
    <w:rsid w:val="00B55592"/>
    <w:rsid w:val="00B55633"/>
    <w:rsid w:val="00B55853"/>
    <w:rsid w:val="00B55A60"/>
    <w:rsid w:val="00B55E9A"/>
    <w:rsid w:val="00B55F2F"/>
    <w:rsid w:val="00B561C1"/>
    <w:rsid w:val="00B56573"/>
    <w:rsid w:val="00B566F2"/>
    <w:rsid w:val="00B5687F"/>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A68"/>
    <w:rsid w:val="00B62E26"/>
    <w:rsid w:val="00B631E4"/>
    <w:rsid w:val="00B63254"/>
    <w:rsid w:val="00B633DB"/>
    <w:rsid w:val="00B64036"/>
    <w:rsid w:val="00B64E0F"/>
    <w:rsid w:val="00B65040"/>
    <w:rsid w:val="00B6530C"/>
    <w:rsid w:val="00B6556E"/>
    <w:rsid w:val="00B65DF6"/>
    <w:rsid w:val="00B66086"/>
    <w:rsid w:val="00B66349"/>
    <w:rsid w:val="00B66F33"/>
    <w:rsid w:val="00B6735B"/>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700"/>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DFB"/>
    <w:rsid w:val="00B86F3A"/>
    <w:rsid w:val="00B8702B"/>
    <w:rsid w:val="00B8740D"/>
    <w:rsid w:val="00B90052"/>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B32"/>
    <w:rsid w:val="00BA23D3"/>
    <w:rsid w:val="00BA241E"/>
    <w:rsid w:val="00BA2A74"/>
    <w:rsid w:val="00BA2B47"/>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29FA"/>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1982"/>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2E6C"/>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6B6B"/>
    <w:rsid w:val="00C17325"/>
    <w:rsid w:val="00C20046"/>
    <w:rsid w:val="00C204FC"/>
    <w:rsid w:val="00C2086F"/>
    <w:rsid w:val="00C209A7"/>
    <w:rsid w:val="00C2134E"/>
    <w:rsid w:val="00C215F3"/>
    <w:rsid w:val="00C21633"/>
    <w:rsid w:val="00C22F1B"/>
    <w:rsid w:val="00C22F5A"/>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528"/>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67D"/>
    <w:rsid w:val="00C52F91"/>
    <w:rsid w:val="00C53996"/>
    <w:rsid w:val="00C53B2E"/>
    <w:rsid w:val="00C54A0B"/>
    <w:rsid w:val="00C55064"/>
    <w:rsid w:val="00C5534A"/>
    <w:rsid w:val="00C558FE"/>
    <w:rsid w:val="00C563B6"/>
    <w:rsid w:val="00C56543"/>
    <w:rsid w:val="00C56ACF"/>
    <w:rsid w:val="00C572E1"/>
    <w:rsid w:val="00C5768A"/>
    <w:rsid w:val="00C577CC"/>
    <w:rsid w:val="00C60751"/>
    <w:rsid w:val="00C61094"/>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5BAF"/>
    <w:rsid w:val="00CA61CF"/>
    <w:rsid w:val="00CA6E15"/>
    <w:rsid w:val="00CB0FB8"/>
    <w:rsid w:val="00CB1161"/>
    <w:rsid w:val="00CB142E"/>
    <w:rsid w:val="00CB1566"/>
    <w:rsid w:val="00CB243A"/>
    <w:rsid w:val="00CB24A8"/>
    <w:rsid w:val="00CB2CB6"/>
    <w:rsid w:val="00CB30E1"/>
    <w:rsid w:val="00CB4812"/>
    <w:rsid w:val="00CB4E4F"/>
    <w:rsid w:val="00CB569C"/>
    <w:rsid w:val="00CB5895"/>
    <w:rsid w:val="00CB5F83"/>
    <w:rsid w:val="00CB6834"/>
    <w:rsid w:val="00CB6A1A"/>
    <w:rsid w:val="00CB6D98"/>
    <w:rsid w:val="00CB760A"/>
    <w:rsid w:val="00CB7B44"/>
    <w:rsid w:val="00CB7C30"/>
    <w:rsid w:val="00CB7E94"/>
    <w:rsid w:val="00CC0220"/>
    <w:rsid w:val="00CC04AB"/>
    <w:rsid w:val="00CC0C8F"/>
    <w:rsid w:val="00CC0FE0"/>
    <w:rsid w:val="00CC109B"/>
    <w:rsid w:val="00CC11E7"/>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4FF"/>
    <w:rsid w:val="00CD1E82"/>
    <w:rsid w:val="00CD1FAD"/>
    <w:rsid w:val="00CD238F"/>
    <w:rsid w:val="00CD2DAC"/>
    <w:rsid w:val="00CD2DB2"/>
    <w:rsid w:val="00CD2F73"/>
    <w:rsid w:val="00CD2FB8"/>
    <w:rsid w:val="00CD3673"/>
    <w:rsid w:val="00CD403B"/>
    <w:rsid w:val="00CD4149"/>
    <w:rsid w:val="00CD4204"/>
    <w:rsid w:val="00CD4790"/>
    <w:rsid w:val="00CD4D1E"/>
    <w:rsid w:val="00CD4F0A"/>
    <w:rsid w:val="00CD553E"/>
    <w:rsid w:val="00CD5AE8"/>
    <w:rsid w:val="00CD5ED1"/>
    <w:rsid w:val="00CD6422"/>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A5"/>
    <w:rsid w:val="00CF1BFE"/>
    <w:rsid w:val="00CF1C25"/>
    <w:rsid w:val="00CF1C28"/>
    <w:rsid w:val="00CF219E"/>
    <w:rsid w:val="00CF262D"/>
    <w:rsid w:val="00CF2DA5"/>
    <w:rsid w:val="00CF2E46"/>
    <w:rsid w:val="00CF3252"/>
    <w:rsid w:val="00CF3450"/>
    <w:rsid w:val="00CF41D0"/>
    <w:rsid w:val="00CF4381"/>
    <w:rsid w:val="00CF4657"/>
    <w:rsid w:val="00CF46BE"/>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3D0"/>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EF6"/>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1E7F"/>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425"/>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2E2"/>
    <w:rsid w:val="00D96A79"/>
    <w:rsid w:val="00D96B4C"/>
    <w:rsid w:val="00D96DA5"/>
    <w:rsid w:val="00D97BC8"/>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6E3"/>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39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79D"/>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1CB"/>
    <w:rsid w:val="00DD4D1A"/>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1E6"/>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6E97"/>
    <w:rsid w:val="00DE72D0"/>
    <w:rsid w:val="00DE764E"/>
    <w:rsid w:val="00DE7CAA"/>
    <w:rsid w:val="00DF00CB"/>
    <w:rsid w:val="00DF08FF"/>
    <w:rsid w:val="00DF148D"/>
    <w:rsid w:val="00DF168F"/>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A24"/>
    <w:rsid w:val="00E00D59"/>
    <w:rsid w:val="00E010A6"/>
    <w:rsid w:val="00E01E06"/>
    <w:rsid w:val="00E01F35"/>
    <w:rsid w:val="00E02787"/>
    <w:rsid w:val="00E028CE"/>
    <w:rsid w:val="00E03FD0"/>
    <w:rsid w:val="00E03FEE"/>
    <w:rsid w:val="00E0444D"/>
    <w:rsid w:val="00E0496B"/>
    <w:rsid w:val="00E049CC"/>
    <w:rsid w:val="00E04A88"/>
    <w:rsid w:val="00E04AE0"/>
    <w:rsid w:val="00E056F3"/>
    <w:rsid w:val="00E0659A"/>
    <w:rsid w:val="00E065C5"/>
    <w:rsid w:val="00E06A2D"/>
    <w:rsid w:val="00E06DA9"/>
    <w:rsid w:val="00E07213"/>
    <w:rsid w:val="00E07620"/>
    <w:rsid w:val="00E076D1"/>
    <w:rsid w:val="00E079A7"/>
    <w:rsid w:val="00E07D0B"/>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4B2"/>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0EE6"/>
    <w:rsid w:val="00E610EE"/>
    <w:rsid w:val="00E611DC"/>
    <w:rsid w:val="00E611EA"/>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3730"/>
    <w:rsid w:val="00E74AAE"/>
    <w:rsid w:val="00E75021"/>
    <w:rsid w:val="00E75059"/>
    <w:rsid w:val="00E75942"/>
    <w:rsid w:val="00E75D88"/>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87F9B"/>
    <w:rsid w:val="00E907E2"/>
    <w:rsid w:val="00E90CCC"/>
    <w:rsid w:val="00E90E79"/>
    <w:rsid w:val="00E912C0"/>
    <w:rsid w:val="00E91591"/>
    <w:rsid w:val="00E91692"/>
    <w:rsid w:val="00E91A68"/>
    <w:rsid w:val="00E92628"/>
    <w:rsid w:val="00E92796"/>
    <w:rsid w:val="00E92995"/>
    <w:rsid w:val="00E939F2"/>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CC8"/>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84C"/>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46E"/>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544"/>
    <w:rsid w:val="00EC7662"/>
    <w:rsid w:val="00EC79D8"/>
    <w:rsid w:val="00ED0991"/>
    <w:rsid w:val="00ED14F1"/>
    <w:rsid w:val="00ED1751"/>
    <w:rsid w:val="00ED28AC"/>
    <w:rsid w:val="00ED29AE"/>
    <w:rsid w:val="00ED2A54"/>
    <w:rsid w:val="00ED2DCD"/>
    <w:rsid w:val="00ED33AB"/>
    <w:rsid w:val="00ED33FC"/>
    <w:rsid w:val="00ED36BC"/>
    <w:rsid w:val="00ED398E"/>
    <w:rsid w:val="00ED452A"/>
    <w:rsid w:val="00ED4652"/>
    <w:rsid w:val="00ED5019"/>
    <w:rsid w:val="00ED6720"/>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5C9E"/>
    <w:rsid w:val="00EE6C7D"/>
    <w:rsid w:val="00EE778E"/>
    <w:rsid w:val="00EE77D4"/>
    <w:rsid w:val="00EF0174"/>
    <w:rsid w:val="00EF0245"/>
    <w:rsid w:val="00EF0414"/>
    <w:rsid w:val="00EF06B8"/>
    <w:rsid w:val="00EF0D18"/>
    <w:rsid w:val="00EF121B"/>
    <w:rsid w:val="00EF1407"/>
    <w:rsid w:val="00EF1FAE"/>
    <w:rsid w:val="00EF2E90"/>
    <w:rsid w:val="00EF3596"/>
    <w:rsid w:val="00EF3E97"/>
    <w:rsid w:val="00EF3ECA"/>
    <w:rsid w:val="00EF3F76"/>
    <w:rsid w:val="00EF4564"/>
    <w:rsid w:val="00EF57AF"/>
    <w:rsid w:val="00EF58F7"/>
    <w:rsid w:val="00EF5B62"/>
    <w:rsid w:val="00EF5C57"/>
    <w:rsid w:val="00EF617B"/>
    <w:rsid w:val="00EF63F7"/>
    <w:rsid w:val="00EF6726"/>
    <w:rsid w:val="00EF6C2B"/>
    <w:rsid w:val="00EF720F"/>
    <w:rsid w:val="00EF775A"/>
    <w:rsid w:val="00EF7864"/>
    <w:rsid w:val="00EF7A6D"/>
    <w:rsid w:val="00EF7C99"/>
    <w:rsid w:val="00F00EFB"/>
    <w:rsid w:val="00F01462"/>
    <w:rsid w:val="00F018FE"/>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BBC"/>
    <w:rsid w:val="00F12E64"/>
    <w:rsid w:val="00F12E9B"/>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130"/>
    <w:rsid w:val="00F243C3"/>
    <w:rsid w:val="00F247D7"/>
    <w:rsid w:val="00F249C8"/>
    <w:rsid w:val="00F24C78"/>
    <w:rsid w:val="00F24E30"/>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4E84"/>
    <w:rsid w:val="00F3511F"/>
    <w:rsid w:val="00F35D3B"/>
    <w:rsid w:val="00F362C7"/>
    <w:rsid w:val="00F36324"/>
    <w:rsid w:val="00F363E0"/>
    <w:rsid w:val="00F364AB"/>
    <w:rsid w:val="00F365D7"/>
    <w:rsid w:val="00F36A6F"/>
    <w:rsid w:val="00F36AC4"/>
    <w:rsid w:val="00F371A7"/>
    <w:rsid w:val="00F37A96"/>
    <w:rsid w:val="00F4023A"/>
    <w:rsid w:val="00F4039D"/>
    <w:rsid w:val="00F411C5"/>
    <w:rsid w:val="00F41251"/>
    <w:rsid w:val="00F415F1"/>
    <w:rsid w:val="00F41ACE"/>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CAE"/>
    <w:rsid w:val="00F44FE6"/>
    <w:rsid w:val="00F45447"/>
    <w:rsid w:val="00F45575"/>
    <w:rsid w:val="00F467A9"/>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B84"/>
    <w:rsid w:val="00F55F03"/>
    <w:rsid w:val="00F56DA9"/>
    <w:rsid w:val="00F57781"/>
    <w:rsid w:val="00F57BB6"/>
    <w:rsid w:val="00F57CD4"/>
    <w:rsid w:val="00F57F4C"/>
    <w:rsid w:val="00F601B9"/>
    <w:rsid w:val="00F60F15"/>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1DCB"/>
    <w:rsid w:val="00FA23A8"/>
    <w:rsid w:val="00FA26DD"/>
    <w:rsid w:val="00FA308B"/>
    <w:rsid w:val="00FA32D9"/>
    <w:rsid w:val="00FA34A4"/>
    <w:rsid w:val="00FA3848"/>
    <w:rsid w:val="00FA3E60"/>
    <w:rsid w:val="00FA3F46"/>
    <w:rsid w:val="00FA45CB"/>
    <w:rsid w:val="00FA4CDE"/>
    <w:rsid w:val="00FA55F4"/>
    <w:rsid w:val="00FA57BB"/>
    <w:rsid w:val="00FA5908"/>
    <w:rsid w:val="00FA5DD8"/>
    <w:rsid w:val="00FA6A80"/>
    <w:rsid w:val="00FA6C48"/>
    <w:rsid w:val="00FA79E4"/>
    <w:rsid w:val="00FB0161"/>
    <w:rsid w:val="00FB026B"/>
    <w:rsid w:val="00FB0885"/>
    <w:rsid w:val="00FB096C"/>
    <w:rsid w:val="00FB173F"/>
    <w:rsid w:val="00FB261C"/>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11A"/>
    <w:rsid w:val="00FB6921"/>
    <w:rsid w:val="00FB6979"/>
    <w:rsid w:val="00FB742B"/>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2E2C"/>
    <w:rsid w:val="00FF30B8"/>
    <w:rsid w:val="00FF33EE"/>
    <w:rsid w:val="00FF381F"/>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D66"/>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8A9"/>
    <w:rPr>
      <w:rFonts w:ascii="Arial" w:eastAsia="MS Mincho" w:hAnsi="Arial"/>
      <w:b/>
      <w:szCs w:val="24"/>
      <w:lang w:eastAsia="en-US"/>
    </w:rPr>
  </w:style>
  <w:style w:type="paragraph" w:customStyle="1" w:styleId="Weidong">
    <w:name w:val="Weidong"/>
    <w:basedOn w:val="Heading1"/>
    <w:qFormat/>
    <w:rsid w:val="00DB679D"/>
    <w:pPr>
      <w:keepNext w:val="0"/>
      <w:widowControl w:val="0"/>
      <w:autoSpaceDE w:val="0"/>
      <w:autoSpaceDN w:val="0"/>
      <w:adjustRightInd w:val="0"/>
      <w:spacing w:before="0" w:after="240"/>
      <w:ind w:left="720" w:hanging="720"/>
      <w:jc w:val="both"/>
    </w:pPr>
  </w:style>
  <w:style w:type="paragraph" w:customStyle="1" w:styleId="weidong-2">
    <w:name w:val="weidong-2"/>
    <w:basedOn w:val="Weidong"/>
    <w:link w:val="weidong-2Char"/>
    <w:qFormat/>
    <w:rsid w:val="00DB679D"/>
    <w:pPr>
      <w:ind w:left="288" w:hanging="288"/>
    </w:pPr>
    <w:rPr>
      <w:kern w:val="2"/>
      <w:lang w:eastAsia="zh-CN"/>
    </w:rPr>
  </w:style>
  <w:style w:type="character" w:customStyle="1" w:styleId="weidong-2Char">
    <w:name w:val="weidong-2 Char"/>
    <w:basedOn w:val="DefaultParagraphFont"/>
    <w:link w:val="weidong-2"/>
    <w:rsid w:val="00DB679D"/>
    <w:rPr>
      <w:rFonts w:ascii="Helvetica" w:eastAsia="MS Mincho" w:hAnsi="Helvetica"/>
      <w:b/>
      <w:bCs/>
      <w:kern w:val="2"/>
      <w:sz w:val="28"/>
      <w:szCs w:val="32"/>
      <w:lang w:eastAsia="zh-CN"/>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3870442">
      <w:bodyDiv w:val="1"/>
      <w:marLeft w:val="0"/>
      <w:marRight w:val="0"/>
      <w:marTop w:val="0"/>
      <w:marBottom w:val="0"/>
      <w:divBdr>
        <w:top w:val="none" w:sz="0" w:space="0" w:color="auto"/>
        <w:left w:val="none" w:sz="0" w:space="0" w:color="auto"/>
        <w:bottom w:val="none" w:sz="0" w:space="0" w:color="auto"/>
        <w:right w:val="none" w:sz="0" w:space="0" w:color="auto"/>
      </w:divBdr>
      <w:divsChild>
        <w:div w:id="109587988">
          <w:marLeft w:val="720"/>
          <w:marRight w:val="0"/>
          <w:marTop w:val="0"/>
          <w:marBottom w:val="0"/>
          <w:divBdr>
            <w:top w:val="none" w:sz="0" w:space="0" w:color="auto"/>
            <w:left w:val="none" w:sz="0" w:space="0" w:color="auto"/>
            <w:bottom w:val="none" w:sz="0" w:space="0" w:color="auto"/>
            <w:right w:val="none" w:sz="0" w:space="0" w:color="auto"/>
          </w:divBdr>
        </w:div>
        <w:div w:id="1419405710">
          <w:marLeft w:val="720"/>
          <w:marRight w:val="0"/>
          <w:marTop w:val="0"/>
          <w:marBottom w:val="0"/>
          <w:divBdr>
            <w:top w:val="none" w:sz="0" w:space="0" w:color="auto"/>
            <w:left w:val="none" w:sz="0" w:space="0" w:color="auto"/>
            <w:bottom w:val="none" w:sz="0" w:space="0" w:color="auto"/>
            <w:right w:val="none" w:sz="0" w:space="0" w:color="auto"/>
          </w:divBdr>
        </w:div>
      </w:divsChild>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1140382">
      <w:bodyDiv w:val="1"/>
      <w:marLeft w:val="0"/>
      <w:marRight w:val="0"/>
      <w:marTop w:val="0"/>
      <w:marBottom w:val="0"/>
      <w:divBdr>
        <w:top w:val="none" w:sz="0" w:space="0" w:color="auto"/>
        <w:left w:val="none" w:sz="0" w:space="0" w:color="auto"/>
        <w:bottom w:val="none" w:sz="0" w:space="0" w:color="auto"/>
        <w:right w:val="none" w:sz="0" w:space="0" w:color="auto"/>
      </w:divBdr>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39663744">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9">
          <w:marLeft w:val="1166"/>
          <w:marRight w:val="0"/>
          <w:marTop w:val="48"/>
          <w:marBottom w:val="0"/>
          <w:divBdr>
            <w:top w:val="none" w:sz="0" w:space="0" w:color="auto"/>
            <w:left w:val="none" w:sz="0" w:space="0" w:color="auto"/>
            <w:bottom w:val="none" w:sz="0" w:space="0" w:color="auto"/>
            <w:right w:val="none" w:sz="0" w:space="0" w:color="auto"/>
          </w:divBdr>
        </w:div>
      </w:divsChild>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42381660">
      <w:bodyDiv w:val="1"/>
      <w:marLeft w:val="0"/>
      <w:marRight w:val="0"/>
      <w:marTop w:val="0"/>
      <w:marBottom w:val="0"/>
      <w:divBdr>
        <w:top w:val="none" w:sz="0" w:space="0" w:color="auto"/>
        <w:left w:val="none" w:sz="0" w:space="0" w:color="auto"/>
        <w:bottom w:val="none" w:sz="0" w:space="0" w:color="auto"/>
        <w:right w:val="none" w:sz="0" w:space="0" w:color="auto"/>
      </w:divBdr>
      <w:divsChild>
        <w:div w:id="1168639189">
          <w:marLeft w:val="547"/>
          <w:marRight w:val="0"/>
          <w:marTop w:val="154"/>
          <w:marBottom w:val="0"/>
          <w:divBdr>
            <w:top w:val="none" w:sz="0" w:space="0" w:color="auto"/>
            <w:left w:val="none" w:sz="0" w:space="0" w:color="auto"/>
            <w:bottom w:val="none" w:sz="0" w:space="0" w:color="auto"/>
            <w:right w:val="none" w:sz="0" w:space="0" w:color="auto"/>
          </w:divBdr>
        </w:div>
        <w:div w:id="1611203926">
          <w:marLeft w:val="1166"/>
          <w:marRight w:val="0"/>
          <w:marTop w:val="134"/>
          <w:marBottom w:val="0"/>
          <w:divBdr>
            <w:top w:val="none" w:sz="0" w:space="0" w:color="auto"/>
            <w:left w:val="none" w:sz="0" w:space="0" w:color="auto"/>
            <w:bottom w:val="none" w:sz="0" w:space="0" w:color="auto"/>
            <w:right w:val="none" w:sz="0" w:space="0" w:color="auto"/>
          </w:divBdr>
        </w:div>
      </w:divsChild>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3EE86-B68F-487B-81BC-FB396EDA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1470</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8794</CharactersWithSpaces>
  <SharedDoc>false</SharedDoc>
  <HLinks>
    <vt:vector size="6" baseType="variant">
      <vt:variant>
        <vt:i4>4390992</vt:i4>
      </vt:variant>
      <vt:variant>
        <vt:i4>0</vt:i4>
      </vt:variant>
      <vt:variant>
        <vt:i4>0</vt:i4>
      </vt:variant>
      <vt:variant>
        <vt:i4>5</vt:i4>
      </vt:variant>
      <vt:variant>
        <vt:lpwstr>../../tDocs/r1-152413.zip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20</cp:revision>
  <cp:lastPrinted>2012-03-20T04:07:00Z</cp:lastPrinted>
  <dcterms:created xsi:type="dcterms:W3CDTF">2015-11-06T23:55:00Z</dcterms:created>
  <dcterms:modified xsi:type="dcterms:W3CDTF">2015-11-07T01:20:00Z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